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2E" w:rsidRDefault="007F072E" w:rsidP="007F072E">
      <w:pPr>
        <w:pStyle w:val="Bezproreda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</w:t>
      </w:r>
      <w:r>
        <w:rPr>
          <w:rFonts w:ascii="Times New Roman" w:hAnsi="Times New Roman"/>
        </w:rPr>
        <w:t>44</w:t>
      </w:r>
      <w:r>
        <w:rPr>
          <w:rFonts w:ascii="Times New Roman" w:hAnsi="Times New Roman"/>
        </w:rPr>
        <w:t>. Statuta općine Privlaka (Službeni glasnik Zadarske županije broj 14/09,   14/11</w:t>
      </w:r>
      <w:r>
        <w:rPr>
          <w:rFonts w:ascii="Times New Roman" w:hAnsi="Times New Roman"/>
        </w:rPr>
        <w:t xml:space="preserve"> i 10/13</w:t>
      </w:r>
      <w:r>
        <w:rPr>
          <w:rFonts w:ascii="Times New Roman" w:hAnsi="Times New Roman"/>
        </w:rPr>
        <w:t>),   Općinsk</w:t>
      </w:r>
      <w:r>
        <w:rPr>
          <w:rFonts w:ascii="Times New Roman" w:hAnsi="Times New Roman"/>
        </w:rPr>
        <w:t xml:space="preserve">i načelnik </w:t>
      </w:r>
      <w:r>
        <w:rPr>
          <w:rFonts w:ascii="Times New Roman" w:hAnsi="Times New Roman"/>
        </w:rPr>
        <w:t xml:space="preserve">općine Privlaka  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  <w:bookmarkStart w:id="0" w:name="_GoBack"/>
      <w:bookmarkEnd w:id="0"/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Pr="005038B1" w:rsidRDefault="007F072E" w:rsidP="007F072E">
      <w:pPr>
        <w:pStyle w:val="Bezproreda"/>
        <w:rPr>
          <w:rFonts w:ascii="Times New Roman" w:hAnsi="Times New Roman"/>
          <w:b/>
        </w:rPr>
      </w:pPr>
      <w:r w:rsidRPr="005038B1">
        <w:rPr>
          <w:rFonts w:ascii="Times New Roman" w:hAnsi="Times New Roman"/>
          <w:b/>
        </w:rPr>
        <w:t>predlaže  donošenje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 xml:space="preserve">DLUKE O </w:t>
      </w:r>
      <w:r>
        <w:rPr>
          <w:rFonts w:ascii="Times New Roman" w:hAnsi="Times New Roman"/>
          <w:i/>
        </w:rPr>
        <w:t xml:space="preserve"> POLUGODIŠNJEM IZVJEŠĆU  IZVRŠENJ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 PRORAČUNA</w:t>
      </w:r>
    </w:p>
    <w:p w:rsidR="007F072E" w:rsidRDefault="007F072E" w:rsidP="007F072E">
      <w:pPr>
        <w:pStyle w:val="Bezproreda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OPĆINE PRIVLAKA I DJEČJEG VRTIĆA SABUNIĆ OD  1. SIJEČNJA DO 30. LIPNJA 2017.G.</w:t>
      </w:r>
    </w:p>
    <w:p w:rsidR="007F072E" w:rsidRDefault="007F072E" w:rsidP="007F072E">
      <w:pPr>
        <w:pStyle w:val="Bezproreda"/>
        <w:jc w:val="center"/>
        <w:rPr>
          <w:rFonts w:ascii="Times New Roman" w:hAnsi="Times New Roman"/>
          <w:i/>
        </w:rPr>
      </w:pPr>
    </w:p>
    <w:p w:rsidR="007F072E" w:rsidRDefault="007F072E" w:rsidP="007F072E">
      <w:pPr>
        <w:pStyle w:val="Bezproreda"/>
        <w:jc w:val="center"/>
        <w:rPr>
          <w:rFonts w:ascii="Times New Roman" w:hAnsi="Times New Roman"/>
          <w:i/>
        </w:rPr>
      </w:pPr>
    </w:p>
    <w:p w:rsidR="007F072E" w:rsidRDefault="007F072E" w:rsidP="007F072E">
      <w:pPr>
        <w:pStyle w:val="Bezproreda"/>
        <w:jc w:val="center"/>
        <w:rPr>
          <w:rFonts w:ascii="Times New Roman" w:hAnsi="Times New Roman"/>
          <w:i/>
        </w:rPr>
      </w:pPr>
    </w:p>
    <w:p w:rsidR="007F072E" w:rsidRDefault="007F072E" w:rsidP="007F072E">
      <w:pPr>
        <w:pStyle w:val="Bezproreda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SADRŽAJ:</w:t>
      </w:r>
    </w:p>
    <w:p w:rsidR="007F072E" w:rsidRDefault="007F072E" w:rsidP="007F072E">
      <w:pPr>
        <w:pStyle w:val="Bezproreda"/>
        <w:rPr>
          <w:rFonts w:ascii="Times New Roman" w:hAnsi="Times New Roman"/>
          <w:i/>
        </w:rPr>
      </w:pPr>
    </w:p>
    <w:p w:rsidR="007F072E" w:rsidRDefault="007F072E" w:rsidP="007F072E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OPĆI DIO POLUGODIŠNJEG  IZVJEŠĆA  PRORAČUNA  I  POSEBNI  DIO POLUGODIŠNJEG IZVJEŠĆA PRORAČUNA 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Opći dio Polugodišnjeg izvješća o izvršenju proračuna Općine Privlaka za razdoblje od 01. siječnja do 30. lipnja 2017. godinu sadrži: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RAČUN PRIHODA I RASHODA</w:t>
      </w:r>
      <w:r>
        <w:rPr>
          <w:rFonts w:ascii="Times New Roman" w:hAnsi="Times New Roman"/>
          <w:b/>
        </w:rPr>
        <w:tab/>
        <w:t xml:space="preserve">             </w:t>
      </w:r>
    </w:p>
    <w:p w:rsidR="007F072E" w:rsidRDefault="007F072E" w:rsidP="007F072E">
      <w:pPr>
        <w:pStyle w:val="Bezproreda"/>
        <w:ind w:left="360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PLAN ZA 2017.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OSTVARENJE do 30. lipnja2017.</w:t>
      </w:r>
    </w:p>
    <w:p w:rsidR="007F072E" w:rsidRDefault="007F072E" w:rsidP="007F072E">
      <w:pPr>
        <w:pStyle w:val="Bezproreda"/>
        <w:rPr>
          <w:rFonts w:ascii="Times New Roman" w:hAnsi="Times New Roman"/>
          <w:b/>
          <w:color w:val="000000" w:themeColor="text1"/>
        </w:rPr>
      </w:pPr>
    </w:p>
    <w:p w:rsidR="007F072E" w:rsidRDefault="007F072E" w:rsidP="007F072E">
      <w:pPr>
        <w:pStyle w:val="Bezproreda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PRIHODI POSLOVANJA                   10.241.130,00</w:t>
      </w:r>
      <w:r>
        <w:rPr>
          <w:rFonts w:ascii="Times New Roman" w:hAnsi="Times New Roman"/>
          <w:color w:val="000000" w:themeColor="text1"/>
        </w:rPr>
        <w:tab/>
        <w:t xml:space="preserve">    </w:t>
      </w:r>
      <w:r>
        <w:rPr>
          <w:rFonts w:ascii="Times New Roman" w:hAnsi="Times New Roman"/>
          <w:color w:val="000000" w:themeColor="text1"/>
        </w:rPr>
        <w:tab/>
        <w:t xml:space="preserve">                   5.983.203,48</w:t>
      </w:r>
    </w:p>
    <w:p w:rsidR="007F072E" w:rsidRDefault="007F072E" w:rsidP="007F072E">
      <w:pPr>
        <w:pStyle w:val="Bezproreda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   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</w:t>
      </w:r>
    </w:p>
    <w:p w:rsidR="007F072E" w:rsidRDefault="007F072E" w:rsidP="007F072E">
      <w:pPr>
        <w:pStyle w:val="Bezproreda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RASHODI POSLOVANJA</w:t>
      </w:r>
      <w:r>
        <w:rPr>
          <w:rFonts w:ascii="Times New Roman" w:hAnsi="Times New Roman"/>
          <w:color w:val="000000" w:themeColor="text1"/>
        </w:rPr>
        <w:tab/>
        <w:t xml:space="preserve">             8.655.130,00    </w:t>
      </w:r>
      <w:r>
        <w:rPr>
          <w:rFonts w:ascii="Times New Roman" w:hAnsi="Times New Roman"/>
          <w:color w:val="000000" w:themeColor="text1"/>
        </w:rPr>
        <w:tab/>
        <w:t xml:space="preserve">                    </w:t>
      </w:r>
      <w:r>
        <w:rPr>
          <w:rFonts w:ascii="Times New Roman" w:hAnsi="Times New Roman"/>
          <w:color w:val="000000" w:themeColor="text1"/>
        </w:rPr>
        <w:tab/>
        <w:t xml:space="preserve">       3.235.585,66</w:t>
      </w:r>
    </w:p>
    <w:p w:rsidR="007F072E" w:rsidRDefault="007F072E" w:rsidP="007F072E">
      <w:pPr>
        <w:pStyle w:val="Bezproreda"/>
        <w:rPr>
          <w:rFonts w:ascii="Calibri" w:hAnsi="Calibri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RAZLIKA-VIŠAK/MANJAK             1.586.000,00   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              2.747.617,82       </w:t>
      </w:r>
      <w:r>
        <w:rPr>
          <w:rFonts w:ascii="Times New Roman" w:hAnsi="Times New Roman"/>
          <w:b/>
          <w:color w:val="000000" w:themeColor="text1"/>
        </w:rPr>
        <w:tab/>
      </w:r>
    </w:p>
    <w:p w:rsidR="007F072E" w:rsidRDefault="007F072E" w:rsidP="007F072E">
      <w:pPr>
        <w:pStyle w:val="Bezproreda"/>
        <w:rPr>
          <w:rFonts w:ascii="Times New Roman" w:hAnsi="Times New Roman"/>
          <w:color w:val="000000" w:themeColor="text1"/>
        </w:rPr>
      </w:pPr>
    </w:p>
    <w:p w:rsidR="007F072E" w:rsidRDefault="007F072E" w:rsidP="007F072E">
      <w:pPr>
        <w:pStyle w:val="Bezproreda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RASHODI ZA NABAVKU </w:t>
      </w:r>
    </w:p>
    <w:p w:rsidR="007F072E" w:rsidRDefault="007F072E" w:rsidP="007F072E">
      <w:pPr>
        <w:pStyle w:val="Bezproreda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NEFINANCIJSKE IMOVINE              3.592.000,00      </w:t>
      </w:r>
      <w:r>
        <w:rPr>
          <w:rFonts w:ascii="Times New Roman" w:hAnsi="Times New Roman"/>
          <w:color w:val="000000" w:themeColor="text1"/>
        </w:rPr>
        <w:tab/>
        <w:t xml:space="preserve">                                     131.647,85</w:t>
      </w:r>
    </w:p>
    <w:p w:rsidR="007F072E" w:rsidRDefault="007F072E" w:rsidP="007F072E">
      <w:pPr>
        <w:pStyle w:val="Bezproreda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RAZLIKA-VIŠAK/MANJAK</w:t>
      </w:r>
      <w:r>
        <w:rPr>
          <w:rFonts w:ascii="Times New Roman" w:hAnsi="Times New Roman"/>
          <w:b/>
          <w:color w:val="000000" w:themeColor="text1"/>
        </w:rPr>
        <w:tab/>
        <w:t xml:space="preserve">        -  3.592.000,00 </w:t>
      </w:r>
      <w:r>
        <w:rPr>
          <w:rFonts w:ascii="Times New Roman" w:hAnsi="Times New Roman"/>
          <w:b/>
          <w:color w:val="000000" w:themeColor="text1"/>
        </w:rPr>
        <w:tab/>
        <w:t xml:space="preserve">                                 -   131.647,85</w:t>
      </w:r>
    </w:p>
    <w:p w:rsidR="007F072E" w:rsidRDefault="007F072E" w:rsidP="007F072E">
      <w:pPr>
        <w:pStyle w:val="Bezproreda"/>
        <w:rPr>
          <w:rFonts w:ascii="Times New Roman" w:hAnsi="Times New Roman"/>
          <w:b/>
          <w:color w:val="000000" w:themeColor="text1"/>
        </w:rPr>
      </w:pP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VIŠAK PRIHODA IZ PRETHODNE GODINE</w:t>
      </w:r>
      <w:r>
        <w:rPr>
          <w:rFonts w:ascii="Times New Roman" w:hAnsi="Times New Roman"/>
          <w:b/>
        </w:rPr>
        <w:tab/>
      </w:r>
    </w:p>
    <w:p w:rsidR="007F072E" w:rsidRDefault="007F072E" w:rsidP="007F072E">
      <w:pPr>
        <w:pStyle w:val="Bezproreda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</w:p>
    <w:p w:rsidR="007F072E" w:rsidRDefault="007F072E" w:rsidP="007F072E">
      <w:pPr>
        <w:pStyle w:val="Bezproreda"/>
        <w:ind w:left="2484" w:firstLine="348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</w:rPr>
        <w:t>VIŠAK PRIHODA IZ 2016.G.</w:t>
      </w:r>
      <w:r>
        <w:rPr>
          <w:rFonts w:ascii="Times New Roman" w:hAnsi="Times New Roman"/>
        </w:rPr>
        <w:tab/>
        <w:t xml:space="preserve">            2.176.000,00</w: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6.246.547,79</w:t>
      </w:r>
      <w:r>
        <w:rPr>
          <w:rFonts w:ascii="Times New Roman" w:hAnsi="Times New Roman"/>
          <w:b/>
        </w:rPr>
        <w:tab/>
        <w:t xml:space="preserve">                           </w:t>
      </w: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-MANJAK PRIHODA POSLOVANJA-VRTIĆ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-  1.820,73 </w:t>
      </w: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-MANJAK PRIHODA OD</w:t>
      </w: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NEFINANCIJSKE IMOVINE-VRTIĆ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- 7.788,23</w:t>
      </w:r>
      <w:r>
        <w:rPr>
          <w:rFonts w:ascii="Times New Roman" w:hAnsi="Times New Roman"/>
        </w:rPr>
        <w:tab/>
      </w: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RAČUN FINANCIRANJA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7F072E" w:rsidRDefault="007F072E" w:rsidP="007F072E">
      <w:pPr>
        <w:pStyle w:val="Bezproreda"/>
        <w:ind w:left="360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ind w:left="360"/>
        <w:rPr>
          <w:rFonts w:ascii="Calibri" w:hAnsi="Calibri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PLAN ZA 2017.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OSTVARENJE 2017</w:t>
      </w:r>
      <w:r>
        <w:rPr>
          <w:rFonts w:ascii="Times New Roman" w:hAnsi="Times New Roman"/>
        </w:rPr>
        <w:t>.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IZDACI ZA FINANCIJSKU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IMOVINU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           170.000,00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                               66.000,00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NETO FINANCIRANJE</w:t>
      </w:r>
      <w:r>
        <w:rPr>
          <w:rFonts w:ascii="Times New Roman" w:hAnsi="Times New Roman"/>
          <w:b/>
        </w:rPr>
        <w:tab/>
        <w:t xml:space="preserve">   -  170.000,00</w:t>
      </w:r>
      <w:r>
        <w:rPr>
          <w:rFonts w:ascii="Times New Roman" w:hAnsi="Times New Roman"/>
          <w:b/>
        </w:rPr>
        <w:tab/>
        <w:t xml:space="preserve">                                                 -  66.000,00     </w:t>
      </w: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</w:p>
    <w:p w:rsidR="007F072E" w:rsidRDefault="007F072E" w:rsidP="007F072E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REZULTAT POSLOVANJA   </w:t>
      </w:r>
    </w:p>
    <w:p w:rsidR="007F072E" w:rsidRDefault="007F072E" w:rsidP="007F072E">
      <w:pPr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F072E" w:rsidRDefault="007F072E" w:rsidP="007F072E">
      <w:pPr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VIŠAK PRIHODA POSLOVANJA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color w:val="000000" w:themeColor="text1"/>
        </w:rPr>
        <w:t xml:space="preserve">                          2.747.617,82</w:t>
      </w:r>
      <w:r>
        <w:rPr>
          <w:rFonts w:ascii="Times New Roman" w:hAnsi="Times New Roman"/>
          <w:b/>
          <w:color w:val="000000" w:themeColor="text1"/>
        </w:rPr>
        <w:t xml:space="preserve">       </w:t>
      </w:r>
      <w:r>
        <w:rPr>
          <w:rFonts w:ascii="Times New Roman" w:hAnsi="Times New Roman"/>
        </w:rPr>
        <w:tab/>
      </w:r>
    </w:p>
    <w:p w:rsidR="007F072E" w:rsidRDefault="007F072E" w:rsidP="007F072E">
      <w:pPr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VIŠAK PRIHODA IZ</w:t>
      </w:r>
      <w:r>
        <w:rPr>
          <w:rFonts w:ascii="Times New Roman" w:hAnsi="Times New Roman"/>
        </w:rPr>
        <w:tab/>
        <w:t xml:space="preserve"> 2016.G.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6.236.938,83  </w:t>
      </w:r>
    </w:p>
    <w:p w:rsidR="007F072E" w:rsidRDefault="007F072E" w:rsidP="007F072E">
      <w:p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b/>
        </w:rPr>
        <w:t xml:space="preserve">- UKUPNO VIŠAK PRIHODA POSLOVANJA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8.984.556,65</w:t>
      </w:r>
      <w:r>
        <w:rPr>
          <w:rFonts w:ascii="Times New Roman" w:hAnsi="Times New Roman"/>
          <w:b/>
        </w:rPr>
        <w:tab/>
      </w: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MANJAH PRIHODA OD NEFINANCIJSKE IMOVINE </w:t>
      </w:r>
      <w:r>
        <w:rPr>
          <w:rFonts w:ascii="Times New Roman" w:hAnsi="Times New Roman"/>
        </w:rPr>
        <w:tab/>
        <w:t xml:space="preserve">                    -   131.647,85</w:t>
      </w:r>
    </w:p>
    <w:p w:rsidR="007F072E" w:rsidRDefault="007F072E" w:rsidP="007F072E">
      <w:pPr>
        <w:spacing w:after="0" w:line="240" w:lineRule="auto"/>
        <w:textAlignment w:val="baseline"/>
      </w:pPr>
    </w:p>
    <w:p w:rsidR="007F072E" w:rsidRDefault="007F072E" w:rsidP="007F072E">
      <w:pPr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RAČUN FINANCIRANJA-FINANCIJSKA IMOVINA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    -66.000,00</w:t>
      </w:r>
    </w:p>
    <w:p w:rsidR="007F072E" w:rsidRDefault="007F072E" w:rsidP="007F072E">
      <w:p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b/>
        </w:rPr>
        <w:t>- REZULTAT POSLOVANJA 30.06.2017.G.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8.786.908,80                                            </w:t>
      </w: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F072E" w:rsidRDefault="007F072E" w:rsidP="007F072E">
      <w:pPr>
        <w:pStyle w:val="Bezproreda"/>
        <w:rPr>
          <w:rFonts w:ascii="Times New Roman" w:hAnsi="Times New Roman"/>
          <w:b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Posebni dio Polugodišnjeg izvješća o izvršenju  proračuna Općine Privlaka  za razdoblje od 01. siječnja do 30. lipnja  2017.g. po ekonomskoj, funkcijskoj, organizacijskoj,  programskoj klasifikaciji i izvorima financiranja sastavni je dio ove Odluke.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numPr>
          <w:ilvl w:val="0"/>
          <w:numId w:val="3"/>
        </w:numPr>
        <w:suppressAutoHyphens w:val="0"/>
        <w:spacing w:after="0" w:line="240" w:lineRule="auto"/>
      </w:pPr>
      <w:r>
        <w:rPr>
          <w:rFonts w:ascii="Times New Roman" w:hAnsi="Times New Roman"/>
          <w:b/>
          <w:i/>
        </w:rPr>
        <w:t>IZVJEŠTAJ O ZADUŽIVANJU</w:t>
      </w:r>
    </w:p>
    <w:p w:rsidR="007F072E" w:rsidRDefault="007F072E" w:rsidP="007F072E">
      <w:pPr>
        <w:suppressAutoHyphens w:val="0"/>
        <w:spacing w:after="0" w:line="240" w:lineRule="auto"/>
        <w:ind w:left="426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ind w:left="426"/>
      </w:pPr>
      <w:r>
        <w:rPr>
          <w:rFonts w:ascii="Times New Roman" w:hAnsi="Times New Roman"/>
        </w:rPr>
        <w:t>Općina Privlaka u prvom polugodištu 2017.g. nije imala zaduživanja na domaćem i stranom tržištu kapitala.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KORIŠTENJE PRORAČUNSKE ZALIHE</w:t>
      </w:r>
    </w:p>
    <w:p w:rsidR="007F072E" w:rsidRDefault="007F072E" w:rsidP="007F072E">
      <w:pPr>
        <w:suppressAutoHyphens w:val="0"/>
        <w:spacing w:after="0" w:line="240" w:lineRule="auto"/>
        <w:ind w:left="426"/>
        <w:rPr>
          <w:rFonts w:ascii="Times New Roman" w:hAnsi="Times New Roman"/>
          <w:b/>
          <w:i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Proračunska zaliha Proračuna Općine Privlaka  nije korištena tijekom prvog polugodišta 2017.g.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numPr>
          <w:ilvl w:val="0"/>
          <w:numId w:val="3"/>
        </w:numPr>
        <w:suppressAutoHyphens w:val="0"/>
        <w:spacing w:after="0" w:line="240" w:lineRule="auto"/>
      </w:pPr>
      <w:r>
        <w:rPr>
          <w:rFonts w:ascii="Times New Roman" w:hAnsi="Times New Roman"/>
          <w:b/>
          <w:i/>
        </w:rPr>
        <w:t>IZVJEŠTAJ O DANIM JAMSTVIMA</w:t>
      </w:r>
    </w:p>
    <w:p w:rsidR="007F072E" w:rsidRDefault="007F072E" w:rsidP="007F072E">
      <w:pPr>
        <w:suppressAutoHyphens w:val="0"/>
        <w:spacing w:after="0" w:line="240" w:lineRule="auto"/>
        <w:ind w:left="426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</w:rPr>
        <w:t>Općina Privlaka tijekom prvog polugodišta 2017.  godine nije imala danih jamstava i izdataka po danim jamstvima.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OBRAZLOŽENJE OSTVARENJA PRIHODA I PRIMITAKA , RASHODA I IZDATAKA</w:t>
      </w:r>
    </w:p>
    <w:p w:rsidR="007F072E" w:rsidRDefault="007F072E" w:rsidP="007F072E">
      <w:pPr>
        <w:suppressAutoHyphens w:val="0"/>
        <w:spacing w:after="0" w:line="240" w:lineRule="auto"/>
        <w:ind w:left="1410"/>
        <w:rPr>
          <w:rFonts w:ascii="Times New Roman" w:hAnsi="Times New Roman"/>
          <w:b/>
          <w:i/>
        </w:rPr>
      </w:pPr>
    </w:p>
    <w:p w:rsidR="007F072E" w:rsidRDefault="007F072E" w:rsidP="007F072E">
      <w:pPr>
        <w:suppressAutoHyphens w:val="0"/>
        <w:spacing w:after="0" w:line="240" w:lineRule="auto"/>
        <w:ind w:left="141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4.1.Struktura ostvarenja prihoda i primitaka  Općine Privlaka za prvo polugodište 2017.g.- od 01. siječnja do 30. lipnja 2017.g.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Za razdoblje od 01.01. 2017. do 30.06. 2017.g. prihodi su ostvareni u iznosu od 5.983.203,48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Prihodi od poreza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poreza  ostvareni su u iznosu od 3.595.162,99 kn i odnose se  na: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porez na dohodak koji je ostvaren u iznosu od 917.081,45 kn; </w:t>
      </w: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</w:rPr>
        <w:t>- poreza na imovinu koji je ostvaren u iznosu od 2.657.941,58 kn ;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-  poreza na robe i usluge (porez na potrošnju, porez na tvrtku) koji je ostvaren u iznosu </w:t>
      </w:r>
      <w:r>
        <w:rPr>
          <w:rFonts w:ascii="Times New Roman" w:hAnsi="Times New Roman"/>
          <w:color w:val="000000" w:themeColor="text1"/>
        </w:rPr>
        <w:t>od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   20.139,96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Pomoći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</w:rPr>
        <w:t xml:space="preserve">Prihodi od pomoći ostvareni su u iznosu od 44.986,85 kn i odnos se na pomoć iz državnog proračuna i  za predškolski odgoj u iznosu od 960,00  kn i Općinu 39.097,56 kn, županijski proračun 4.929,29 kn.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FF3944" w:rsidRDefault="00FF3944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Prihodi od imovine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Prihodi od imovine ostvareni su u iznosu od 131.443,97 kn i odnose se na: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-prihod od  financijske imovine koji je ostvaren u iznosu od 870,85  kn  i odnose se na kamate na kratkoročne depozite u poslovnoj banci;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prihod od nefinancijske imovine ( naknada za koncesijska odobrenja, iznajmljivanja imovine)  koji je ostvaren u iznosu od 130.573,12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Prihodi od administrativnih pristojbi i po posebnim propisima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Prihodi od administrativnih pristojbi ostvareni su u iznosu od 2.209.985,06  kn i odnose se na: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prihodi od upravnih administrativnih pristojbi koji su ostvareni u iznosu od 475.517,40 kn;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prohodi po posebnim propisima koji su ostvaren u iznosu </w:t>
      </w:r>
      <w:r>
        <w:rPr>
          <w:rFonts w:ascii="Times New Roman" w:hAnsi="Times New Roman"/>
          <w:color w:val="000000" w:themeColor="text1"/>
        </w:rPr>
        <w:t>od  240.492,91kn</w:t>
      </w:r>
      <w:r>
        <w:rPr>
          <w:rFonts w:ascii="Times New Roman" w:hAnsi="Times New Roman"/>
        </w:rPr>
        <w:t>;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prihod od komunalnih doprinosa i naknada koji je ostvaren u iznosu od 1.493.974,75 kn 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u w:val="single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Prihodi od donacija</w:t>
      </w:r>
      <w:r>
        <w:rPr>
          <w:rFonts w:ascii="Times New Roman" w:hAnsi="Times New Roman"/>
        </w:rPr>
        <w:t xml:space="preserve"> 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Prihodi od donacija- Vrtić ostvareni su u iznosu od 761,25 kn;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Prihodi na temelju ugovornih obveza -Vrtić ostvareni su u iznosu od 863,36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numPr>
          <w:ilvl w:val="1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Struktura ostvarenja rashoda i izdataka Općine Privlaka za prvo polugodište  2017.g.</w:t>
      </w:r>
    </w:p>
    <w:p w:rsidR="007F072E" w:rsidRDefault="007F072E" w:rsidP="007F072E">
      <w:pPr>
        <w:suppressAutoHyphens w:val="0"/>
        <w:spacing w:after="0" w:line="240" w:lineRule="auto"/>
        <w:ind w:left="78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 od 01. siječnja do 30. lipnja 2017.g.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i/>
        </w:rPr>
      </w:pPr>
    </w:p>
    <w:p w:rsidR="007F072E" w:rsidRDefault="007F072E" w:rsidP="007F07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Ciljevi koji su postavljeni kroz rashode Proračuna Općine Privlaka za 2017.g. sadrže   pripreme zajedno sa Gradom Ninom, Općinom Vir i Općinom </w:t>
      </w:r>
      <w:proofErr w:type="spellStart"/>
      <w:r>
        <w:rPr>
          <w:rFonts w:ascii="Times New Roman" w:hAnsi="Times New Roman"/>
        </w:rPr>
        <w:t>Vrsi</w:t>
      </w:r>
      <w:proofErr w:type="spellEnd"/>
      <w:r>
        <w:rPr>
          <w:rFonts w:ascii="Times New Roman" w:hAnsi="Times New Roman"/>
        </w:rPr>
        <w:t xml:space="preserve"> na  izgradnji kanalizacije koji će se financirati iz sredstava EU-a, gospodarska zona „</w:t>
      </w:r>
      <w:proofErr w:type="spellStart"/>
      <w:r>
        <w:rPr>
          <w:rFonts w:ascii="Times New Roman" w:hAnsi="Times New Roman"/>
        </w:rPr>
        <w:t>Sabunike</w:t>
      </w:r>
      <w:proofErr w:type="spellEnd"/>
      <w:r>
        <w:rPr>
          <w:rFonts w:ascii="Times New Roman" w:hAnsi="Times New Roman"/>
        </w:rPr>
        <w:t>“ , projekti  uređenja mjesta za poboljšanje turističke ponude jer je turizam jedna od glavnih gospodarskih grana u Općini Privlaka.</w:t>
      </w: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</w:rPr>
        <w:t>Rashodi poslovanja Općine Privlaka za prvo polugodište  2017.g. iznose 3.235.585,66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 xml:space="preserve">kn. </w:t>
      </w: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</w:rPr>
        <w:t>Rashodi za nabavku nefinancijske imovine iznose 131.647,85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Izdaci za financijsku imovinu  koji se odnose na studentske kredite iznose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66.000,00 kn.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Rashodi za plaće zaposlenika</w:t>
      </w:r>
      <w:r>
        <w:rPr>
          <w:rFonts w:ascii="Times New Roman" w:hAnsi="Times New Roman"/>
        </w:rPr>
        <w:t xml:space="preserve"> ostvareni su u iznosu od  655.786,38 kn.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Ostali rashodi za zaposlene </w:t>
      </w:r>
      <w:r>
        <w:rPr>
          <w:rFonts w:ascii="Times New Roman" w:hAnsi="Times New Roman"/>
        </w:rPr>
        <w:t>ostvareni su u iznosu od 4.500,00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Doprinosi na plaće</w:t>
      </w:r>
      <w:r>
        <w:rPr>
          <w:rFonts w:ascii="Times New Roman" w:hAnsi="Times New Roman"/>
        </w:rPr>
        <w:t xml:space="preserve"> ostvareni su u iznosu od 74.800,38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Naknade troškova zaposlenima  </w:t>
      </w:r>
      <w:r>
        <w:rPr>
          <w:rFonts w:ascii="Times New Roman" w:hAnsi="Times New Roman"/>
        </w:rPr>
        <w:t>ostvareni su u iznosu od 14.375,84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Rashodi za materijal i energiju </w:t>
      </w:r>
      <w:r>
        <w:rPr>
          <w:rFonts w:ascii="Times New Roman" w:hAnsi="Times New Roman"/>
        </w:rPr>
        <w:t>ostvareni su u iznosu od 197.482,28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Rashodi za usluge </w:t>
      </w:r>
      <w:r>
        <w:rPr>
          <w:rFonts w:ascii="Times New Roman" w:hAnsi="Times New Roman"/>
        </w:rPr>
        <w:t>ostvareni su u iznosu od 1.673.816,55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Ostali nespomenuti rashodi  </w:t>
      </w:r>
      <w:r>
        <w:rPr>
          <w:rFonts w:ascii="Times New Roman" w:hAnsi="Times New Roman"/>
        </w:rPr>
        <w:t>ostvareni su u iznosu od 156.536,99 kn.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Financijski rashodi</w:t>
      </w:r>
      <w:r>
        <w:rPr>
          <w:rFonts w:ascii="Times New Roman" w:hAnsi="Times New Roman"/>
        </w:rPr>
        <w:t xml:space="preserve"> ostvareni su u iznosu od 7.819,34 kn.  </w:t>
      </w:r>
    </w:p>
    <w:p w:rsidR="007F072E" w:rsidRDefault="007F072E" w:rsidP="007F072E">
      <w:pPr>
        <w:suppressAutoHyphens w:val="0"/>
        <w:spacing w:after="0" w:line="240" w:lineRule="auto"/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Rashodi za subvencije</w:t>
      </w:r>
      <w:r>
        <w:rPr>
          <w:rFonts w:ascii="Times New Roman" w:hAnsi="Times New Roman"/>
        </w:rPr>
        <w:t xml:space="preserve"> ostvareni su u iznosu od 84.049,40 kn, a odnose se na  subvencije poljoprivrednicima.</w:t>
      </w: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  <w:b/>
        </w:rPr>
        <w:t>Rashodi za naknade građanima i kućanstvima</w:t>
      </w:r>
      <w:r>
        <w:rPr>
          <w:rFonts w:ascii="Times New Roman" w:hAnsi="Times New Roman"/>
        </w:rPr>
        <w:t xml:space="preserve"> ostvareni su u iznosu od 62.485,50 kn, a odnose se na pomoći obiteljima u novcu, financiranje učeničkih pokaza,  </w:t>
      </w:r>
      <w:proofErr w:type="spellStart"/>
      <w:r>
        <w:rPr>
          <w:rFonts w:ascii="Times New Roman" w:hAnsi="Times New Roman"/>
        </w:rPr>
        <w:t>porodiljne</w:t>
      </w:r>
      <w:proofErr w:type="spellEnd"/>
      <w:r>
        <w:rPr>
          <w:rFonts w:ascii="Times New Roman" w:hAnsi="Times New Roman"/>
        </w:rPr>
        <w:t xml:space="preserve">  naknade.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Tekuće donacije-  </w:t>
      </w:r>
      <w:r>
        <w:rPr>
          <w:rFonts w:ascii="Times New Roman" w:hAnsi="Times New Roman"/>
        </w:rPr>
        <w:t>ostvareni su u iznosu od 303.933,00 kn i odnose se na  tekuće donacije u novcu udrugama u kulturi, športu, ostale udruge 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Rashodi za nabavu nefinancijske imovine</w:t>
      </w:r>
      <w:r>
        <w:rPr>
          <w:rFonts w:ascii="Times New Roman" w:hAnsi="Times New Roman"/>
        </w:rPr>
        <w:t xml:space="preserve"> ostvareni su u iznosu od 131.647,85 kn.  Rashodi za nabavu nefinancijske imovine sadrže 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ostali građevinski objekti  u iznosu od  64.761,38  kn;  oprema u iznosu od 24.500,47  kn;  nematerijalna proizvedena imovina (projekti) u iznosu od 42.386,00  kn.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Izdaci za financijsku imovinu</w:t>
      </w:r>
      <w:r>
        <w:rPr>
          <w:rFonts w:ascii="Times New Roman" w:hAnsi="Times New Roman"/>
        </w:rPr>
        <w:t xml:space="preserve">  koji se odnose na studentske kredite ostvareni su u iznosu od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66.000,00 kn.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F072E" w:rsidRDefault="007F072E" w:rsidP="007F072E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RASPORED VIŠKA PRIHODA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F072E" w:rsidRDefault="007F072E" w:rsidP="007F072E">
      <w:pPr>
        <w:suppressAutoHyphens w:val="0"/>
        <w:spacing w:after="0" w:line="240" w:lineRule="auto"/>
      </w:pPr>
      <w:r>
        <w:rPr>
          <w:rFonts w:ascii="Times New Roman" w:hAnsi="Times New Roman"/>
        </w:rPr>
        <w:t>Rezultat poslovanja za  Prvo polugodište 2017.g. je   8.786.908,80  kn raspoređuje se za drugo polugodište 2017.g.</w:t>
      </w:r>
      <w:r>
        <w:rPr>
          <w:rFonts w:ascii="Times New Roman" w:hAnsi="Times New Roman"/>
          <w:b/>
        </w:rPr>
        <w:t xml:space="preserve">                   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  <w:i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400-04/17-01/</w:t>
      </w:r>
      <w:proofErr w:type="spellStart"/>
      <w:r w:rsidR="00FF3944">
        <w:rPr>
          <w:rFonts w:ascii="Times New Roman" w:hAnsi="Times New Roman"/>
        </w:rPr>
        <w:t>01</w:t>
      </w:r>
      <w:proofErr w:type="spellEnd"/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URBROJ: 2198/28-0</w:t>
      </w:r>
      <w:r w:rsidR="00FF3944">
        <w:rPr>
          <w:rFonts w:ascii="Times New Roman" w:hAnsi="Times New Roman"/>
        </w:rPr>
        <w:t>2</w:t>
      </w:r>
      <w:r>
        <w:rPr>
          <w:rFonts w:ascii="Times New Roman" w:hAnsi="Times New Roman"/>
        </w:rPr>
        <w:t>-17-1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Privlaka, </w:t>
      </w:r>
      <w:r w:rsidR="00FF3944">
        <w:rPr>
          <w:rFonts w:ascii="Times New Roman" w:hAnsi="Times New Roman"/>
        </w:rPr>
        <w:t>05. rujna</w:t>
      </w:r>
      <w:r>
        <w:rPr>
          <w:rFonts w:ascii="Times New Roman" w:hAnsi="Times New Roman"/>
        </w:rPr>
        <w:t xml:space="preserve"> 2017 .g.                  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OPĆINA PRIVLAKA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OPĆIN</w:t>
      </w:r>
      <w:r>
        <w:rPr>
          <w:rFonts w:ascii="Times New Roman" w:hAnsi="Times New Roman"/>
        </w:rPr>
        <w:t>SKI NAČELNIK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Gašpar </w:t>
      </w:r>
      <w:proofErr w:type="spellStart"/>
      <w:r>
        <w:rPr>
          <w:rFonts w:ascii="Times New Roman" w:hAnsi="Times New Roman"/>
        </w:rPr>
        <w:t>Begonja</w:t>
      </w:r>
      <w:proofErr w:type="spellEnd"/>
      <w:r>
        <w:rPr>
          <w:rFonts w:ascii="Times New Roman" w:hAnsi="Times New Roman"/>
        </w:rPr>
        <w:t>, dipl. ing.</w:t>
      </w: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suppressAutoHyphens w:val="0"/>
        <w:spacing w:after="0" w:line="240" w:lineRule="auto"/>
        <w:rPr>
          <w:rFonts w:ascii="Times New Roman" w:hAnsi="Times New Roman"/>
        </w:rPr>
      </w:pPr>
    </w:p>
    <w:p w:rsidR="007F072E" w:rsidRDefault="007F072E" w:rsidP="007F07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3869" w:rsidRPr="007F072E" w:rsidRDefault="007A3869" w:rsidP="007F07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A3869" w:rsidRPr="007F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9D1"/>
    <w:multiLevelType w:val="multilevel"/>
    <w:tmpl w:val="6A98CD6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">
    <w:nsid w:val="172C2E93"/>
    <w:multiLevelType w:val="multilevel"/>
    <w:tmpl w:val="1416102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2">
    <w:nsid w:val="2126705F"/>
    <w:multiLevelType w:val="multilevel"/>
    <w:tmpl w:val="86EEE33E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10A8"/>
    <w:multiLevelType w:val="multilevel"/>
    <w:tmpl w:val="7688B03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1"/>
    <w:rsid w:val="005038B1"/>
    <w:rsid w:val="007A3869"/>
    <w:rsid w:val="007F072E"/>
    <w:rsid w:val="00C66FE1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2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F07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F07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8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2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F07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F07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8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4</cp:revision>
  <cp:lastPrinted>2017-09-05T08:27:00Z</cp:lastPrinted>
  <dcterms:created xsi:type="dcterms:W3CDTF">2017-09-05T07:40:00Z</dcterms:created>
  <dcterms:modified xsi:type="dcterms:W3CDTF">2017-09-05T08:27:00Z</dcterms:modified>
</cp:coreProperties>
</file>