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CA" w:rsidRDefault="00404BCA" w:rsidP="00404BC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Na temelju članka 37. točka 4. Zakona o proračunu (NN broj 87/08, 136 /12 i 15/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 i članka 44. Statuta općine Privlaka, (Službeni glasnik Zadarske županije broj 14/09, 14/11. i 10/13.) Općinski načelnik Općine  Privlaka  dana  14.  studenog 2017.g. dostavlja  Općinskom vijeću  Općine Privlaka              </w:t>
      </w:r>
    </w:p>
    <w:p w:rsidR="00404BCA" w:rsidRDefault="00404BCA" w:rsidP="00404BCA">
      <w:pPr>
        <w:overflowPunct w:val="0"/>
        <w:autoSpaceDE w:val="0"/>
        <w:jc w:val="both"/>
      </w:pPr>
    </w:p>
    <w:p w:rsidR="00404BCA" w:rsidRDefault="00404BCA" w:rsidP="00404BCA">
      <w:pPr>
        <w:overflowPunct w:val="0"/>
        <w:autoSpaceDE w:val="0"/>
        <w:rPr>
          <w:b/>
        </w:rPr>
      </w:pPr>
      <w:r>
        <w:rPr>
          <w:b/>
        </w:rPr>
        <w:t xml:space="preserve">p r i je d l o g </w:t>
      </w:r>
    </w:p>
    <w:p w:rsidR="00404BCA" w:rsidRDefault="00404BCA" w:rsidP="00404BCA">
      <w:pPr>
        <w:overflowPunct w:val="0"/>
        <w:autoSpaceDE w:val="0"/>
        <w:jc w:val="center"/>
        <w:rPr>
          <w:b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 xml:space="preserve">PRORAČUNA OPĆINE PRIVLAKA ZA 2018. GODINU </w:t>
      </w: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 xml:space="preserve">I </w:t>
      </w: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PROJEKCIJE ZA  2019. I  2020. GODINU</w:t>
      </w: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szCs w:val="20"/>
        </w:rPr>
      </w:pPr>
      <w:r>
        <w:rPr>
          <w:szCs w:val="20"/>
        </w:rPr>
        <w:t xml:space="preserve"> </w:t>
      </w:r>
    </w:p>
    <w:p w:rsidR="00404BCA" w:rsidRDefault="00404BCA" w:rsidP="00404BCA">
      <w:pPr>
        <w:overflowPunct w:val="0"/>
        <w:autoSpaceDE w:val="0"/>
        <w:jc w:val="center"/>
        <w:rPr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>Prijedlog Proračuna Općine Privlaka za 2018. godinu (u daljnjem tekstu: Prijedlog Proračuna) sastoji se od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>A.  RAČUN PRIHODA I RASHODA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b/>
          <w:szCs w:val="20"/>
        </w:rPr>
        <w:t xml:space="preserve">1. UKUPNO PRIHODI 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</w:t>
      </w:r>
      <w:r>
        <w:rPr>
          <w:b/>
          <w:szCs w:val="20"/>
        </w:rPr>
        <w:tab/>
      </w:r>
      <w:r>
        <w:rPr>
          <w:szCs w:val="20"/>
        </w:rPr>
        <w:t>12.570.000,00 kn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>1.a. PRIHODI POSLOVANJA</w:t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>
        <w:rPr>
          <w:szCs w:val="20"/>
        </w:rPr>
        <w:tab/>
        <w:t>12.570.000,00  kn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ab/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2. RASHODI         </w:t>
      </w:r>
      <w:r>
        <w:rPr>
          <w:b/>
          <w:szCs w:val="20"/>
        </w:rPr>
        <w:tab/>
        <w:t xml:space="preserve">     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</w:t>
      </w:r>
      <w:r>
        <w:rPr>
          <w:b/>
          <w:szCs w:val="20"/>
        </w:rPr>
        <w:tab/>
        <w:t>16.398.250,00 kn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>2.a. RASHODI POSLOVANJA</w:t>
      </w:r>
      <w:r>
        <w:rPr>
          <w:szCs w:val="20"/>
        </w:rPr>
        <w:tab/>
      </w:r>
      <w:r>
        <w:rPr>
          <w:szCs w:val="20"/>
        </w:rPr>
        <w:tab/>
        <w:t xml:space="preserve">   </w:t>
      </w:r>
      <w:r>
        <w:rPr>
          <w:szCs w:val="20"/>
        </w:rPr>
        <w:tab/>
        <w:t xml:space="preserve">  8.901.250,00 kn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>2.b. RASHODI ZA NABAVKU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 xml:space="preserve">   NEFINANCIJSKE IMOVINE</w:t>
      </w:r>
      <w:r>
        <w:rPr>
          <w:szCs w:val="20"/>
        </w:rPr>
        <w:tab/>
        <w:t xml:space="preserve">                </w:t>
      </w:r>
      <w:r>
        <w:rPr>
          <w:szCs w:val="20"/>
        </w:rPr>
        <w:tab/>
        <w:t xml:space="preserve">  7.497.000,00 kn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3. RAZLIKA – VIŠAK/MANJAK (1-2)          -   3.828.250,00 kn    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>B.  RAČUN FINANCIRANJA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>1. PRIMICI OD FINANCIJSKE IMOVINE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-</w:t>
      </w:r>
      <w:r>
        <w:rPr>
          <w:szCs w:val="20"/>
        </w:rPr>
        <w:tab/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>2. IZDACI ZA FINANCIJSKU IMOVINU</w:t>
      </w:r>
      <w:r>
        <w:rPr>
          <w:szCs w:val="20"/>
        </w:rPr>
        <w:tab/>
      </w:r>
      <w:r>
        <w:rPr>
          <w:szCs w:val="20"/>
        </w:rPr>
        <w:tab/>
        <w:t xml:space="preserve">     170.000,00 kn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3. RAZLIKA – VIŠAK/MANJAK (1-2)        -       170.000,00 kn    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ab/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C.  VIŠAK PRIHODA     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       IZ 2017.G.      </w:t>
      </w:r>
      <w:r>
        <w:rPr>
          <w:b/>
          <w:szCs w:val="20"/>
        </w:rPr>
        <w:tab/>
        <w:t xml:space="preserve">         </w:t>
      </w:r>
      <w:r>
        <w:rPr>
          <w:b/>
          <w:szCs w:val="20"/>
        </w:rPr>
        <w:tab/>
        <w:t xml:space="preserve">       </w:t>
      </w:r>
      <w:r>
        <w:rPr>
          <w:b/>
          <w:szCs w:val="20"/>
        </w:rPr>
        <w:tab/>
        <w:t xml:space="preserve">                        3.998.250,00 kn      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D. UKUPNO PRORAČUN 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1. UKUPNO PRIHODI I PRIMICI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16.568.250,00 kn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+ VIŠAK PRIHODA IZ 2017. GODINE             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2.UKUPNO RASHODI I IZDACI </w:t>
      </w:r>
      <w:r>
        <w:rPr>
          <w:b/>
          <w:szCs w:val="20"/>
        </w:rPr>
        <w:tab/>
        <w:t xml:space="preserve">             16.568.250,00 kn</w:t>
      </w:r>
    </w:p>
    <w:p w:rsidR="00404BCA" w:rsidRDefault="00404BCA" w:rsidP="00404BCA">
      <w:pPr>
        <w:overflowPunct w:val="0"/>
        <w:autoSpaceDE w:val="0"/>
        <w:ind w:left="360"/>
        <w:jc w:val="both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  </w:t>
      </w:r>
      <w:r>
        <w:rPr>
          <w:b/>
          <w:szCs w:val="20"/>
        </w:rPr>
        <w:tab/>
      </w:r>
    </w:p>
    <w:p w:rsidR="00404BCA" w:rsidRDefault="00404BCA" w:rsidP="00404BCA">
      <w:pPr>
        <w:overflowPunct w:val="0"/>
        <w:autoSpaceDE w:val="0"/>
        <w:ind w:left="360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Članak 2.</w:t>
      </w:r>
    </w:p>
    <w:p w:rsidR="00404BCA" w:rsidRDefault="00404BCA" w:rsidP="00404BCA">
      <w:pPr>
        <w:overflowPunct w:val="0"/>
        <w:autoSpaceDE w:val="0"/>
        <w:jc w:val="center"/>
        <w:rPr>
          <w:szCs w:val="20"/>
        </w:rPr>
      </w:pPr>
    </w:p>
    <w:p w:rsidR="00404BCA" w:rsidRDefault="00404BCA" w:rsidP="00404BCA">
      <w:pPr>
        <w:overflowPunct w:val="0"/>
        <w:autoSpaceDE w:val="0"/>
        <w:rPr>
          <w:szCs w:val="20"/>
        </w:rPr>
      </w:pPr>
      <w:r>
        <w:rPr>
          <w:szCs w:val="20"/>
        </w:rPr>
        <w:tab/>
        <w:t>Prijedlog Projekcija Proračuna za 2019. godinu sastoji se od:</w:t>
      </w:r>
    </w:p>
    <w:p w:rsidR="00404BCA" w:rsidRDefault="00404BCA" w:rsidP="00404BCA">
      <w:pPr>
        <w:overflowPunct w:val="0"/>
        <w:autoSpaceDE w:val="0"/>
        <w:rPr>
          <w:szCs w:val="20"/>
        </w:rPr>
      </w:pP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szCs w:val="20"/>
        </w:rPr>
      </w:pPr>
      <w:r>
        <w:rPr>
          <w:szCs w:val="20"/>
        </w:rPr>
        <w:t xml:space="preserve">- PRIHODA  </w:t>
      </w:r>
      <w:r>
        <w:rPr>
          <w:szCs w:val="20"/>
        </w:rPr>
        <w:tab/>
      </w:r>
      <w:r>
        <w:rPr>
          <w:szCs w:val="20"/>
        </w:rPr>
        <w:tab/>
        <w:t xml:space="preserve">         u iznosu od          11.485.150,00 kn</w:t>
      </w: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szCs w:val="20"/>
        </w:rPr>
      </w:pPr>
      <w:r>
        <w:rPr>
          <w:szCs w:val="20"/>
        </w:rPr>
        <w:t xml:space="preserve">- VIŠAK PRIHODA </w:t>
      </w: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szCs w:val="20"/>
        </w:rPr>
      </w:pPr>
      <w:r>
        <w:rPr>
          <w:szCs w:val="20"/>
        </w:rPr>
        <w:t xml:space="preserve">   IZ 2018.G.</w:t>
      </w:r>
      <w:r>
        <w:rPr>
          <w:szCs w:val="20"/>
        </w:rPr>
        <w:tab/>
      </w:r>
      <w:r>
        <w:rPr>
          <w:szCs w:val="20"/>
        </w:rPr>
        <w:tab/>
        <w:t xml:space="preserve">         u iznosu od</w:t>
      </w:r>
      <w:r>
        <w:rPr>
          <w:szCs w:val="20"/>
        </w:rPr>
        <w:tab/>
        <w:t xml:space="preserve">       1.141.362,80 kn</w:t>
      </w:r>
      <w:r>
        <w:rPr>
          <w:szCs w:val="20"/>
        </w:rPr>
        <w:tab/>
      </w: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 xml:space="preserve">- UKUPNO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12.626.512,80 kn</w:t>
      </w:r>
      <w:r>
        <w:rPr>
          <w:b/>
          <w:szCs w:val="20"/>
        </w:rPr>
        <w:tab/>
      </w: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rFonts w:ascii="Calibri" w:eastAsia="Calibri" w:hAnsi="Calibri"/>
          <w:sz w:val="22"/>
          <w:szCs w:val="22"/>
        </w:rPr>
      </w:pPr>
      <w:r>
        <w:rPr>
          <w:szCs w:val="20"/>
        </w:rPr>
        <w:t xml:space="preserve">  </w:t>
      </w:r>
      <w:r>
        <w:rPr>
          <w:b/>
          <w:szCs w:val="20"/>
        </w:rPr>
        <w:t xml:space="preserve">- RASHODA         </w:t>
      </w:r>
      <w:r>
        <w:rPr>
          <w:b/>
          <w:szCs w:val="20"/>
        </w:rPr>
        <w:tab/>
        <w:t xml:space="preserve">         u iznosu od          12.626.512,80 kn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Članak 3.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ab/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>Prijedlog Projekcija Proračuna za 2020. godinu sastoji se od: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szCs w:val="20"/>
        </w:rPr>
      </w:pPr>
      <w:r>
        <w:rPr>
          <w:szCs w:val="20"/>
        </w:rPr>
        <w:t xml:space="preserve">- PRIHODA  </w:t>
      </w:r>
      <w:r>
        <w:rPr>
          <w:szCs w:val="20"/>
        </w:rPr>
        <w:tab/>
      </w:r>
      <w:r>
        <w:rPr>
          <w:szCs w:val="20"/>
        </w:rPr>
        <w:tab/>
        <w:t xml:space="preserve">         u iznosu od         11.496.150,00 kn</w:t>
      </w: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szCs w:val="20"/>
        </w:rPr>
      </w:pPr>
      <w:r>
        <w:rPr>
          <w:szCs w:val="20"/>
        </w:rPr>
        <w:t>-VIŠAK PRIHODA</w:t>
      </w: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szCs w:val="20"/>
        </w:rPr>
      </w:pPr>
      <w:r>
        <w:rPr>
          <w:szCs w:val="20"/>
        </w:rPr>
        <w:t xml:space="preserve"> IZ 2019.G.</w:t>
      </w:r>
      <w:r>
        <w:rPr>
          <w:szCs w:val="20"/>
        </w:rPr>
        <w:tab/>
      </w:r>
      <w:r>
        <w:rPr>
          <w:szCs w:val="20"/>
        </w:rPr>
        <w:tab/>
        <w:t xml:space="preserve">         u iznosu od                        0,00 kn</w:t>
      </w: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>- UKUPNO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11.496.150,00 kn</w:t>
      </w:r>
      <w:r>
        <w:rPr>
          <w:b/>
          <w:szCs w:val="20"/>
        </w:rPr>
        <w:tab/>
      </w: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both"/>
        <w:rPr>
          <w:rFonts w:ascii="Calibri" w:eastAsia="Calibri" w:hAnsi="Calibri"/>
          <w:sz w:val="22"/>
          <w:szCs w:val="22"/>
        </w:rPr>
      </w:pPr>
      <w:r>
        <w:rPr>
          <w:szCs w:val="20"/>
        </w:rPr>
        <w:t xml:space="preserve">  </w:t>
      </w:r>
      <w:r>
        <w:rPr>
          <w:b/>
          <w:szCs w:val="20"/>
        </w:rPr>
        <w:t xml:space="preserve">- RASHODA         </w:t>
      </w:r>
      <w:r>
        <w:rPr>
          <w:b/>
          <w:szCs w:val="20"/>
        </w:rPr>
        <w:tab/>
        <w:t xml:space="preserve">         u iznosu od        11.496.150,00 kn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  <w:r>
        <w:rPr>
          <w:szCs w:val="20"/>
        </w:rPr>
        <w:tab/>
        <w:t xml:space="preserve"> </w:t>
      </w:r>
    </w:p>
    <w:p w:rsidR="00404BCA" w:rsidRDefault="00404BCA" w:rsidP="00404BCA">
      <w:pPr>
        <w:overflowPunct w:val="0"/>
        <w:autoSpaceDE w:val="0"/>
        <w:jc w:val="center"/>
        <w:rPr>
          <w:szCs w:val="20"/>
        </w:rPr>
      </w:pPr>
    </w:p>
    <w:p w:rsidR="00404BCA" w:rsidRDefault="00404BCA" w:rsidP="00404BCA">
      <w:pPr>
        <w:overflowPunct w:val="0"/>
        <w:autoSpaceDE w:val="0"/>
        <w:ind w:firstLine="720"/>
        <w:jc w:val="both"/>
        <w:rPr>
          <w:szCs w:val="20"/>
        </w:rPr>
      </w:pPr>
      <w:r>
        <w:rPr>
          <w:szCs w:val="20"/>
        </w:rPr>
        <w:t>Prijedlog Prihoda, rashoda  i izdataka u Prijedlogu Proračuna Općine Privlaka za 2018.g. utvrđuju se u bilanci u posebnom dijelu Prijedloga Proračuna za 2018.g. na trećoj razini ekonomske klasifikacije i Projekcije za 2019. i 2020. g. na drugoj razini ekonomske klasifikacije.</w:t>
      </w: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>Klasa: 400-08/17-01/02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proofErr w:type="spellStart"/>
      <w:r>
        <w:rPr>
          <w:b/>
          <w:szCs w:val="20"/>
        </w:rPr>
        <w:t>Ur.broj</w:t>
      </w:r>
      <w:proofErr w:type="spellEnd"/>
      <w:r>
        <w:rPr>
          <w:b/>
          <w:szCs w:val="20"/>
        </w:rPr>
        <w:t>: 2198/28-02-17-1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  <w:r>
        <w:rPr>
          <w:b/>
          <w:szCs w:val="20"/>
        </w:rPr>
        <w:t>Privlaka, 14. studenog 2017.g.</w:t>
      </w: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both"/>
        <w:rPr>
          <w:b/>
          <w:szCs w:val="20"/>
        </w:rPr>
      </w:pPr>
    </w:p>
    <w:p w:rsidR="00404BCA" w:rsidRDefault="00404BCA" w:rsidP="00404BCA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 xml:space="preserve">        OPĆINSKI NAČELNIK OPĆINE PRIVLAKA</w:t>
      </w:r>
    </w:p>
    <w:p w:rsidR="00404BCA" w:rsidRDefault="00404BCA" w:rsidP="00404BCA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          Gašpar  </w:t>
      </w:r>
      <w:proofErr w:type="spellStart"/>
      <w:r>
        <w:rPr>
          <w:b/>
          <w:szCs w:val="20"/>
        </w:rPr>
        <w:t>Begonja</w:t>
      </w:r>
      <w:proofErr w:type="spellEnd"/>
      <w:r>
        <w:rPr>
          <w:b/>
          <w:szCs w:val="20"/>
        </w:rPr>
        <w:t>, dipl. ing.</w:t>
      </w:r>
    </w:p>
    <w:p w:rsidR="00404BCA" w:rsidRDefault="00404BCA" w:rsidP="00404BCA"/>
    <w:p w:rsidR="00404BCA" w:rsidRDefault="00404BCA" w:rsidP="00404BCA"/>
    <w:p w:rsidR="00404BCA" w:rsidRDefault="00404BCA" w:rsidP="00404BCA">
      <w:r>
        <w:t xml:space="preserve">                                                                                                   </w:t>
      </w:r>
    </w:p>
    <w:p w:rsidR="00404BCA" w:rsidRDefault="00404BCA" w:rsidP="00404BCA"/>
    <w:p w:rsidR="00404BCA" w:rsidRDefault="00404BCA" w:rsidP="00404BCA"/>
    <w:p w:rsidR="00404BCA" w:rsidRDefault="00404BCA" w:rsidP="00404BCA">
      <w:r>
        <w:t xml:space="preserve">          </w:t>
      </w:r>
    </w:p>
    <w:p w:rsidR="002A7B47" w:rsidRPr="00404BCA" w:rsidRDefault="002A7B47" w:rsidP="00404BCA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7B47" w:rsidRPr="0040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E"/>
    <w:rsid w:val="002A7B47"/>
    <w:rsid w:val="00404BCA"/>
    <w:rsid w:val="006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4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4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dcterms:created xsi:type="dcterms:W3CDTF">2017-12-14T07:15:00Z</dcterms:created>
  <dcterms:modified xsi:type="dcterms:W3CDTF">2017-12-14T07:16:00Z</dcterms:modified>
</cp:coreProperties>
</file>