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92" w:rsidRPr="006965A1" w:rsidRDefault="00A65A0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Na temelju članka 17. stavak 3. podstavak 7. Zakona o sustavu civilne zaštite (NN br. 82/15), članka 7. stavak 2. i stavak 3. Pravilnika o smjernicama za izradu procjena rizika od katastrofa i velikih nesreća za područje Republike Hrvatske i jedinica lokalne i područne (regionalne) samouprave (NN br. 65/16), Smjernica za izradu procjena rizika od velikih nesreća za područje </w:t>
      </w:r>
      <w:r w:rsidR="00E66F6F">
        <w:rPr>
          <w:rFonts w:ascii="Arial" w:hAnsi="Arial" w:cs="Arial"/>
          <w:sz w:val="24"/>
          <w:szCs w:val="24"/>
        </w:rPr>
        <w:t xml:space="preserve">zadarske </w:t>
      </w:r>
      <w:r w:rsidR="00B80A68" w:rsidRPr="00B80A68">
        <w:rPr>
          <w:rFonts w:ascii="Arial" w:hAnsi="Arial" w:cs="Arial"/>
          <w:sz w:val="24"/>
          <w:szCs w:val="24"/>
        </w:rPr>
        <w:t>županije (KLASA: 810-0</w:t>
      </w:r>
      <w:r w:rsidR="000C6677">
        <w:rPr>
          <w:rFonts w:ascii="Arial" w:hAnsi="Arial" w:cs="Arial"/>
          <w:sz w:val="24"/>
          <w:szCs w:val="24"/>
        </w:rPr>
        <w:t>1</w:t>
      </w:r>
      <w:r w:rsidR="00B80A68" w:rsidRPr="00B80A68">
        <w:rPr>
          <w:rFonts w:ascii="Arial" w:hAnsi="Arial" w:cs="Arial"/>
          <w:sz w:val="24"/>
          <w:szCs w:val="24"/>
        </w:rPr>
        <w:t>/16-0</w:t>
      </w:r>
      <w:r w:rsidR="000C6677">
        <w:rPr>
          <w:rFonts w:ascii="Arial" w:hAnsi="Arial" w:cs="Arial"/>
          <w:sz w:val="24"/>
          <w:szCs w:val="24"/>
        </w:rPr>
        <w:t>1</w:t>
      </w:r>
      <w:r w:rsidR="00B80A68" w:rsidRPr="00B80A68">
        <w:rPr>
          <w:rFonts w:ascii="Arial" w:hAnsi="Arial" w:cs="Arial"/>
          <w:sz w:val="24"/>
          <w:szCs w:val="24"/>
        </w:rPr>
        <w:t>/</w:t>
      </w:r>
      <w:r w:rsidR="000C6677">
        <w:rPr>
          <w:rFonts w:ascii="Arial" w:hAnsi="Arial" w:cs="Arial"/>
          <w:sz w:val="24"/>
          <w:szCs w:val="24"/>
        </w:rPr>
        <w:t>5</w:t>
      </w:r>
      <w:r w:rsidR="00B80A68" w:rsidRPr="00B80A68">
        <w:rPr>
          <w:rFonts w:ascii="Arial" w:hAnsi="Arial" w:cs="Arial"/>
          <w:sz w:val="24"/>
          <w:szCs w:val="24"/>
        </w:rPr>
        <w:t xml:space="preserve">,  URBROJ: </w:t>
      </w:r>
      <w:r w:rsidR="000C6677">
        <w:rPr>
          <w:rFonts w:ascii="Arial" w:hAnsi="Arial" w:cs="Arial"/>
          <w:sz w:val="24"/>
          <w:szCs w:val="24"/>
        </w:rPr>
        <w:t xml:space="preserve">2198/1-01-17-5 </w:t>
      </w:r>
      <w:r w:rsidR="00B80A68" w:rsidRPr="00B80A68">
        <w:rPr>
          <w:rFonts w:ascii="Arial" w:hAnsi="Arial" w:cs="Arial"/>
          <w:sz w:val="24"/>
          <w:szCs w:val="24"/>
        </w:rPr>
        <w:t xml:space="preserve">od </w:t>
      </w:r>
      <w:r w:rsidR="002B6919">
        <w:rPr>
          <w:rFonts w:ascii="Arial" w:hAnsi="Arial" w:cs="Arial"/>
          <w:sz w:val="24"/>
          <w:szCs w:val="24"/>
        </w:rPr>
        <w:t>21</w:t>
      </w:r>
      <w:r w:rsidR="00B80A68" w:rsidRPr="00B80A68">
        <w:rPr>
          <w:rFonts w:ascii="Arial" w:hAnsi="Arial" w:cs="Arial"/>
          <w:sz w:val="24"/>
          <w:szCs w:val="24"/>
        </w:rPr>
        <w:t>.0</w:t>
      </w:r>
      <w:r w:rsidR="002B6919">
        <w:rPr>
          <w:rFonts w:ascii="Arial" w:hAnsi="Arial" w:cs="Arial"/>
          <w:sz w:val="24"/>
          <w:szCs w:val="24"/>
        </w:rPr>
        <w:t>2</w:t>
      </w:r>
      <w:r w:rsidR="00B80A68" w:rsidRPr="00B80A68">
        <w:rPr>
          <w:rFonts w:ascii="Arial" w:hAnsi="Arial" w:cs="Arial"/>
          <w:sz w:val="24"/>
          <w:szCs w:val="24"/>
        </w:rPr>
        <w:t>.2017. godine)</w:t>
      </w:r>
      <w:r w:rsidRPr="006965A1">
        <w:rPr>
          <w:rFonts w:ascii="Arial" w:hAnsi="Arial" w:cs="Arial"/>
          <w:sz w:val="24"/>
          <w:szCs w:val="24"/>
        </w:rPr>
        <w:t xml:space="preserve">, </w:t>
      </w:r>
      <w:r w:rsidR="00C30751" w:rsidRPr="00C30751">
        <w:rPr>
          <w:rFonts w:ascii="Arial" w:hAnsi="Arial" w:cs="Arial"/>
          <w:sz w:val="24"/>
          <w:szCs w:val="24"/>
        </w:rPr>
        <w:t xml:space="preserve">te članka 44. Statuta Općine </w:t>
      </w:r>
      <w:proofErr w:type="spellStart"/>
      <w:r w:rsidR="00C30751" w:rsidRPr="00C30751">
        <w:rPr>
          <w:rFonts w:ascii="Arial" w:hAnsi="Arial" w:cs="Arial"/>
          <w:sz w:val="24"/>
          <w:szCs w:val="24"/>
        </w:rPr>
        <w:t>Privlaka</w:t>
      </w:r>
      <w:proofErr w:type="spellEnd"/>
      <w:r w:rsidR="00C30751" w:rsidRPr="00C30751">
        <w:rPr>
          <w:rFonts w:ascii="Arial" w:hAnsi="Arial" w:cs="Arial"/>
          <w:sz w:val="24"/>
          <w:szCs w:val="24"/>
        </w:rPr>
        <w:t xml:space="preserve"> (“Službeni glasnik Zadarske županije“ broj 14/09, 14/11, 10/13.),</w:t>
      </w:r>
      <w:r w:rsidR="00C30751">
        <w:rPr>
          <w:rFonts w:ascii="Arial" w:hAnsi="Arial" w:cs="Arial"/>
          <w:sz w:val="24"/>
          <w:szCs w:val="24"/>
        </w:rPr>
        <w:t xml:space="preserve"> </w:t>
      </w:r>
      <w:r w:rsidR="00B80A68">
        <w:rPr>
          <w:rFonts w:ascii="Arial" w:hAnsi="Arial" w:cs="Arial"/>
          <w:sz w:val="24"/>
          <w:szCs w:val="24"/>
        </w:rPr>
        <w:t>načelnik</w:t>
      </w:r>
      <w:r w:rsidR="00E66F6F">
        <w:rPr>
          <w:rFonts w:ascii="Arial" w:hAnsi="Arial" w:cs="Arial"/>
          <w:sz w:val="24"/>
          <w:szCs w:val="24"/>
        </w:rPr>
        <w:t xml:space="preserve"> </w:t>
      </w:r>
      <w:r w:rsidR="00C30751">
        <w:rPr>
          <w:rFonts w:ascii="Arial" w:hAnsi="Arial" w:cs="Arial"/>
          <w:sz w:val="24"/>
          <w:szCs w:val="24"/>
        </w:rPr>
        <w:t>O</w:t>
      </w:r>
      <w:r w:rsidR="00B80A68">
        <w:rPr>
          <w:rFonts w:ascii="Arial" w:hAnsi="Arial" w:cs="Arial"/>
          <w:sz w:val="24"/>
          <w:szCs w:val="24"/>
        </w:rPr>
        <w:t>pćine</w:t>
      </w:r>
      <w:r w:rsidRPr="00696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751">
        <w:rPr>
          <w:rFonts w:ascii="Arial" w:hAnsi="Arial" w:cs="Arial"/>
          <w:sz w:val="24"/>
          <w:szCs w:val="24"/>
        </w:rPr>
        <w:t>Privlaka</w:t>
      </w:r>
      <w:proofErr w:type="spellEnd"/>
      <w:r w:rsidR="00C30751">
        <w:rPr>
          <w:rFonts w:ascii="Arial" w:hAnsi="Arial" w:cs="Arial"/>
          <w:sz w:val="24"/>
          <w:szCs w:val="24"/>
        </w:rPr>
        <w:t xml:space="preserve">, dana 15, siječnja </w:t>
      </w:r>
      <w:r w:rsidRPr="006965A1">
        <w:rPr>
          <w:rFonts w:ascii="Arial" w:hAnsi="Arial" w:cs="Arial"/>
          <w:sz w:val="24"/>
          <w:szCs w:val="24"/>
        </w:rPr>
        <w:t>2017. godine donosi</w:t>
      </w:r>
      <w:r w:rsidR="0086250A">
        <w:rPr>
          <w:rFonts w:ascii="Arial" w:hAnsi="Arial" w:cs="Arial"/>
          <w:sz w:val="24"/>
          <w:szCs w:val="24"/>
        </w:rPr>
        <w:t>: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774D92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ODLUKU</w:t>
      </w:r>
    </w:p>
    <w:p w:rsidR="009528A8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 xml:space="preserve">o postupku izrade Procjene rizika od velikih nesreća za </w:t>
      </w:r>
      <w:r w:rsidR="00A65A04" w:rsidRPr="006965A1">
        <w:rPr>
          <w:rFonts w:ascii="Arial" w:hAnsi="Arial" w:cs="Arial"/>
          <w:b/>
          <w:sz w:val="24"/>
          <w:szCs w:val="24"/>
        </w:rPr>
        <w:t xml:space="preserve">područje </w:t>
      </w:r>
      <w:r w:rsidR="00E66F6F">
        <w:rPr>
          <w:rFonts w:ascii="Arial" w:hAnsi="Arial" w:cs="Arial"/>
          <w:b/>
          <w:sz w:val="24"/>
          <w:szCs w:val="24"/>
        </w:rPr>
        <w:t>O</w:t>
      </w:r>
      <w:r w:rsidR="00B80A68">
        <w:rPr>
          <w:rFonts w:ascii="Arial" w:hAnsi="Arial" w:cs="Arial"/>
          <w:b/>
          <w:sz w:val="24"/>
          <w:szCs w:val="24"/>
        </w:rPr>
        <w:t>pćine</w:t>
      </w:r>
      <w:r w:rsidR="00E66F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b/>
          <w:sz w:val="24"/>
          <w:szCs w:val="24"/>
        </w:rPr>
        <w:t>Privlaka</w:t>
      </w:r>
      <w:proofErr w:type="spellEnd"/>
      <w:r w:rsidRPr="006965A1">
        <w:rPr>
          <w:rFonts w:ascii="Arial" w:hAnsi="Arial" w:cs="Arial"/>
          <w:b/>
          <w:sz w:val="24"/>
          <w:szCs w:val="24"/>
        </w:rPr>
        <w:t xml:space="preserve"> i osnivanju Radne skupine za izradu Procjene rizika od velikih nesreća za </w:t>
      </w:r>
      <w:r w:rsidR="00101CEA" w:rsidRPr="006965A1">
        <w:rPr>
          <w:rFonts w:ascii="Arial" w:hAnsi="Arial" w:cs="Arial"/>
          <w:b/>
          <w:sz w:val="24"/>
          <w:szCs w:val="24"/>
        </w:rPr>
        <w:t>područje</w:t>
      </w:r>
      <w:r w:rsidR="00B80A68">
        <w:rPr>
          <w:rFonts w:ascii="Arial" w:hAnsi="Arial" w:cs="Arial"/>
          <w:b/>
          <w:sz w:val="24"/>
          <w:szCs w:val="24"/>
        </w:rPr>
        <w:t xml:space="preserve"> </w:t>
      </w:r>
      <w:r w:rsidR="00E66F6F">
        <w:rPr>
          <w:rFonts w:ascii="Arial" w:hAnsi="Arial" w:cs="Arial"/>
          <w:b/>
          <w:sz w:val="24"/>
          <w:szCs w:val="24"/>
        </w:rPr>
        <w:t>O</w:t>
      </w:r>
      <w:r w:rsidR="00B80A68">
        <w:rPr>
          <w:rFonts w:ascii="Arial" w:hAnsi="Arial" w:cs="Arial"/>
          <w:b/>
          <w:sz w:val="24"/>
          <w:szCs w:val="24"/>
        </w:rPr>
        <w:t>pćine</w:t>
      </w:r>
      <w:r w:rsidR="00A65A04" w:rsidRPr="00696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b/>
          <w:sz w:val="24"/>
          <w:szCs w:val="24"/>
        </w:rPr>
        <w:t>Privlaka</w:t>
      </w:r>
      <w:proofErr w:type="spellEnd"/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964E74" w:rsidRPr="006965A1" w:rsidRDefault="00964E74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1.</w:t>
      </w:r>
    </w:p>
    <w:p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Ovom Odlukom uređuje se po</w:t>
      </w:r>
      <w:r w:rsidR="00774D92" w:rsidRPr="006965A1">
        <w:rPr>
          <w:rFonts w:ascii="Arial" w:hAnsi="Arial" w:cs="Arial"/>
          <w:sz w:val="24"/>
          <w:szCs w:val="24"/>
        </w:rPr>
        <w:t>stupak izrade Procjene rizika od</w:t>
      </w:r>
      <w:r w:rsidRPr="006965A1">
        <w:rPr>
          <w:rFonts w:ascii="Arial" w:hAnsi="Arial" w:cs="Arial"/>
          <w:sz w:val="24"/>
          <w:szCs w:val="24"/>
        </w:rPr>
        <w:t xml:space="preserve"> velikih nesreća za </w:t>
      </w:r>
      <w:r w:rsidR="00A65A04" w:rsidRPr="006965A1">
        <w:rPr>
          <w:rFonts w:ascii="Arial" w:hAnsi="Arial" w:cs="Arial"/>
          <w:sz w:val="24"/>
          <w:szCs w:val="24"/>
        </w:rPr>
        <w:t>područje</w:t>
      </w:r>
      <w:r w:rsidR="00B80A68">
        <w:rPr>
          <w:rFonts w:ascii="Arial" w:hAnsi="Arial" w:cs="Arial"/>
          <w:sz w:val="24"/>
          <w:szCs w:val="24"/>
        </w:rPr>
        <w:t xml:space="preserve"> </w:t>
      </w:r>
      <w:r w:rsidR="00E66F6F">
        <w:rPr>
          <w:rFonts w:ascii="Arial" w:hAnsi="Arial" w:cs="Arial"/>
          <w:sz w:val="24"/>
          <w:szCs w:val="24"/>
        </w:rPr>
        <w:t>O</w:t>
      </w:r>
      <w:r w:rsidR="00B80A68">
        <w:rPr>
          <w:rFonts w:ascii="Arial" w:hAnsi="Arial" w:cs="Arial"/>
          <w:sz w:val="24"/>
          <w:szCs w:val="24"/>
        </w:rPr>
        <w:t>pćine</w:t>
      </w:r>
      <w:r w:rsidR="00A65A04" w:rsidRPr="00696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sz w:val="24"/>
          <w:szCs w:val="24"/>
        </w:rPr>
        <w:t>Privlaka</w:t>
      </w:r>
      <w:proofErr w:type="spellEnd"/>
      <w:r w:rsidRPr="006965A1">
        <w:rPr>
          <w:rFonts w:ascii="Arial" w:hAnsi="Arial" w:cs="Arial"/>
          <w:sz w:val="24"/>
          <w:szCs w:val="24"/>
        </w:rPr>
        <w:t xml:space="preserve">, osniva Radna skupina za izradu Procjene rizika od velikih nesreća te određuju </w:t>
      </w:r>
      <w:r w:rsidR="00774D92" w:rsidRPr="006965A1">
        <w:rPr>
          <w:rFonts w:ascii="Arial" w:hAnsi="Arial" w:cs="Arial"/>
          <w:sz w:val="24"/>
          <w:szCs w:val="24"/>
        </w:rPr>
        <w:t>koordinator</w:t>
      </w:r>
      <w:r w:rsidR="00E71D04" w:rsidRPr="006965A1">
        <w:rPr>
          <w:rFonts w:ascii="Arial" w:hAnsi="Arial" w:cs="Arial"/>
          <w:sz w:val="24"/>
          <w:szCs w:val="24"/>
        </w:rPr>
        <w:t>i</w:t>
      </w:r>
      <w:r w:rsidR="00774D92" w:rsidRPr="006965A1">
        <w:rPr>
          <w:rFonts w:ascii="Arial" w:hAnsi="Arial" w:cs="Arial"/>
          <w:sz w:val="24"/>
          <w:szCs w:val="24"/>
        </w:rPr>
        <w:t>, nositelj</w:t>
      </w:r>
      <w:r w:rsidR="00A65A04" w:rsidRPr="006965A1">
        <w:rPr>
          <w:rFonts w:ascii="Arial" w:hAnsi="Arial" w:cs="Arial"/>
          <w:sz w:val="24"/>
          <w:szCs w:val="24"/>
        </w:rPr>
        <w:t xml:space="preserve">, </w:t>
      </w:r>
      <w:r w:rsidRPr="006965A1">
        <w:rPr>
          <w:rFonts w:ascii="Arial" w:hAnsi="Arial" w:cs="Arial"/>
          <w:sz w:val="24"/>
          <w:szCs w:val="24"/>
        </w:rPr>
        <w:t>izv</w:t>
      </w:r>
      <w:r w:rsidR="00A65A04" w:rsidRPr="006965A1">
        <w:rPr>
          <w:rFonts w:ascii="Arial" w:hAnsi="Arial" w:cs="Arial"/>
          <w:sz w:val="24"/>
          <w:szCs w:val="24"/>
        </w:rPr>
        <w:t>ršitelji izrade Procjene rizika i konzultant.</w:t>
      </w:r>
    </w:p>
    <w:p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</w:t>
      </w:r>
      <w:r w:rsidR="00A65A04" w:rsidRPr="006965A1">
        <w:rPr>
          <w:rFonts w:ascii="Arial" w:hAnsi="Arial" w:cs="Arial"/>
          <w:sz w:val="24"/>
          <w:szCs w:val="24"/>
        </w:rPr>
        <w:t xml:space="preserve">područje </w:t>
      </w:r>
      <w:r w:rsidR="00E66F6F">
        <w:rPr>
          <w:rFonts w:ascii="Arial" w:hAnsi="Arial" w:cs="Arial"/>
          <w:sz w:val="24"/>
          <w:szCs w:val="24"/>
        </w:rPr>
        <w:t>O</w:t>
      </w:r>
      <w:r w:rsidR="00B80A68">
        <w:rPr>
          <w:rFonts w:ascii="Arial" w:hAnsi="Arial" w:cs="Arial"/>
          <w:sz w:val="24"/>
          <w:szCs w:val="24"/>
        </w:rPr>
        <w:t>pćine</w:t>
      </w:r>
      <w:r w:rsidR="00A65A04" w:rsidRPr="00696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sz w:val="24"/>
          <w:szCs w:val="24"/>
        </w:rPr>
        <w:t>Privlaka</w:t>
      </w:r>
      <w:proofErr w:type="spellEnd"/>
      <w:r w:rsidRPr="006965A1">
        <w:rPr>
          <w:rFonts w:ascii="Arial" w:hAnsi="Arial" w:cs="Arial"/>
          <w:sz w:val="24"/>
          <w:szCs w:val="24"/>
        </w:rPr>
        <w:t xml:space="preserve"> (u daljnjem tekstu: </w:t>
      </w:r>
      <w:r w:rsidR="00A65A04" w:rsidRPr="006965A1">
        <w:rPr>
          <w:rFonts w:ascii="Arial" w:hAnsi="Arial" w:cs="Arial"/>
          <w:sz w:val="24"/>
          <w:szCs w:val="24"/>
        </w:rPr>
        <w:t>Procjena) izrađuje se sukladno S</w:t>
      </w:r>
      <w:r w:rsidRPr="006965A1">
        <w:rPr>
          <w:rFonts w:ascii="Arial" w:hAnsi="Arial" w:cs="Arial"/>
          <w:sz w:val="24"/>
          <w:szCs w:val="24"/>
        </w:rPr>
        <w:t xml:space="preserve">mjernicama za izradu procjene rizika od velikih nesreća za područje </w:t>
      </w:r>
      <w:r w:rsidR="00E66F6F">
        <w:rPr>
          <w:rFonts w:ascii="Arial" w:hAnsi="Arial" w:cs="Arial"/>
          <w:sz w:val="24"/>
          <w:szCs w:val="24"/>
        </w:rPr>
        <w:t>Zadarske</w:t>
      </w:r>
      <w:r w:rsidRPr="006965A1">
        <w:rPr>
          <w:rFonts w:ascii="Arial" w:hAnsi="Arial" w:cs="Arial"/>
          <w:sz w:val="24"/>
          <w:szCs w:val="24"/>
        </w:rPr>
        <w:t xml:space="preserve"> županije.</w:t>
      </w:r>
    </w:p>
    <w:p w:rsidR="00964E74" w:rsidRPr="006965A1" w:rsidRDefault="00964E7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Postupak izrade Procjene obuhvaća prikupljanje, obradu</w:t>
      </w:r>
      <w:r w:rsidR="00E514E8" w:rsidRPr="006965A1">
        <w:rPr>
          <w:rFonts w:ascii="Arial" w:hAnsi="Arial" w:cs="Arial"/>
          <w:sz w:val="24"/>
          <w:szCs w:val="24"/>
        </w:rPr>
        <w:t xml:space="preserve"> i analiziranje podataka.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E514E8" w:rsidRPr="006965A1" w:rsidRDefault="00E514E8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2.</w:t>
      </w:r>
    </w:p>
    <w:p w:rsidR="00E514E8" w:rsidRPr="006965A1" w:rsidRDefault="00A65A04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Ovom Odlukom određuju se koordinatori za svaki pojedini rizik te nositelji i izvršitelji izrade rizika. </w:t>
      </w:r>
    </w:p>
    <w:p w:rsidR="00A65A04" w:rsidRPr="006965A1" w:rsidRDefault="00A65A04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Ovom Odlukom određuje se Alfa atest d.o.o. iz Splita, Poljička cesta 32, ovlaštenik za prvu grupu stručnih poslova u području planiranja civilne zaštite kao konzultant.  </w:t>
      </w:r>
    </w:p>
    <w:p w:rsidR="00A65A04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</w:t>
      </w:r>
      <w:r w:rsidR="00E71D04" w:rsidRPr="006965A1">
        <w:rPr>
          <w:rFonts w:ascii="Arial" w:hAnsi="Arial" w:cs="Arial"/>
          <w:sz w:val="24"/>
          <w:szCs w:val="24"/>
        </w:rPr>
        <w:t>i</w:t>
      </w:r>
      <w:r w:rsidRPr="006965A1">
        <w:rPr>
          <w:rFonts w:ascii="Arial" w:hAnsi="Arial" w:cs="Arial"/>
          <w:sz w:val="24"/>
          <w:szCs w:val="24"/>
        </w:rPr>
        <w:t xml:space="preserve"> organizira</w:t>
      </w:r>
      <w:r w:rsidR="00E71D04" w:rsidRPr="006965A1">
        <w:rPr>
          <w:rFonts w:ascii="Arial" w:hAnsi="Arial" w:cs="Arial"/>
          <w:sz w:val="24"/>
          <w:szCs w:val="24"/>
        </w:rPr>
        <w:t>ju</w:t>
      </w:r>
      <w:r w:rsidRPr="006965A1">
        <w:rPr>
          <w:rFonts w:ascii="Arial" w:hAnsi="Arial" w:cs="Arial"/>
          <w:sz w:val="24"/>
          <w:szCs w:val="24"/>
        </w:rPr>
        <w:t xml:space="preserve"> i koordinira</w:t>
      </w:r>
      <w:r w:rsidR="00E71D04" w:rsidRPr="006965A1">
        <w:rPr>
          <w:rFonts w:ascii="Arial" w:hAnsi="Arial" w:cs="Arial"/>
          <w:sz w:val="24"/>
          <w:szCs w:val="24"/>
        </w:rPr>
        <w:t>ju</w:t>
      </w:r>
      <w:r w:rsidRPr="006965A1">
        <w:rPr>
          <w:rFonts w:ascii="Arial" w:hAnsi="Arial" w:cs="Arial"/>
          <w:sz w:val="24"/>
          <w:szCs w:val="24"/>
        </w:rPr>
        <w:t xml:space="preserve"> izradu svakog pojedinog rizika, dok su izvršitelji dužni surađivati te u okviru svoje nadležnosti doprinositi razradi rizika. </w:t>
      </w:r>
    </w:p>
    <w:p w:rsidR="00A140C0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Lista koordinatora za pojedine rizike , izvršitelja i konzultanta nalazi se u Prilogu I. koji je sastavni dio ove Odluke.</w:t>
      </w:r>
    </w:p>
    <w:p w:rsidR="00A140C0" w:rsidRPr="006965A1" w:rsidRDefault="00A140C0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3.</w:t>
      </w:r>
    </w:p>
    <w:p w:rsidR="00A140C0" w:rsidRPr="006965A1" w:rsidRDefault="00A140C0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Osniva se Radna skupina za izradu Procjene rizika od velikih nesreća za </w:t>
      </w:r>
      <w:r w:rsidR="00A65A04" w:rsidRPr="006965A1">
        <w:rPr>
          <w:rFonts w:ascii="Arial" w:hAnsi="Arial" w:cs="Arial"/>
          <w:sz w:val="24"/>
          <w:szCs w:val="24"/>
        </w:rPr>
        <w:t>područje</w:t>
      </w:r>
      <w:r w:rsidR="00E66F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sz w:val="24"/>
          <w:szCs w:val="24"/>
        </w:rPr>
        <w:t>O</w:t>
      </w:r>
      <w:r w:rsidR="00B80A68">
        <w:rPr>
          <w:rFonts w:ascii="Arial" w:hAnsi="Arial" w:cs="Arial"/>
          <w:sz w:val="24"/>
          <w:szCs w:val="24"/>
        </w:rPr>
        <w:t>pćine</w:t>
      </w:r>
      <w:r w:rsidR="00E66F6F">
        <w:rPr>
          <w:rFonts w:ascii="Arial" w:hAnsi="Arial" w:cs="Arial"/>
          <w:sz w:val="24"/>
          <w:szCs w:val="24"/>
        </w:rPr>
        <w:t>Privlaka</w:t>
      </w:r>
      <w:proofErr w:type="spellEnd"/>
      <w:r w:rsidRPr="006965A1">
        <w:rPr>
          <w:rFonts w:ascii="Arial" w:hAnsi="Arial" w:cs="Arial"/>
          <w:sz w:val="24"/>
          <w:szCs w:val="24"/>
        </w:rPr>
        <w:t xml:space="preserve"> (u daljnjem tekstu: Radna skupina).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Članovi Radne skupine, istovremeno i nositelji za pojedine rizike, osim </w:t>
      </w:r>
      <w:r w:rsidR="00B80A68">
        <w:rPr>
          <w:rFonts w:ascii="Arial" w:hAnsi="Arial" w:cs="Arial"/>
          <w:sz w:val="24"/>
          <w:szCs w:val="24"/>
        </w:rPr>
        <w:t>načelnika</w:t>
      </w:r>
      <w:r w:rsidRPr="006965A1">
        <w:rPr>
          <w:rFonts w:ascii="Arial" w:hAnsi="Arial" w:cs="Arial"/>
          <w:sz w:val="24"/>
          <w:szCs w:val="24"/>
        </w:rPr>
        <w:t xml:space="preserve"> kao glavnog koordinatora,  imenuju se: 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1. </w:t>
      </w:r>
      <w:r w:rsidR="00350AE7">
        <w:rPr>
          <w:rFonts w:ascii="Arial" w:hAnsi="Arial" w:cs="Arial"/>
          <w:sz w:val="24"/>
          <w:szCs w:val="24"/>
          <w:u w:val="single"/>
        </w:rPr>
        <w:t xml:space="preserve">Gašpar </w:t>
      </w:r>
      <w:proofErr w:type="spellStart"/>
      <w:r w:rsidR="00350AE7">
        <w:rPr>
          <w:rFonts w:ascii="Arial" w:hAnsi="Arial" w:cs="Arial"/>
          <w:sz w:val="24"/>
          <w:szCs w:val="24"/>
          <w:u w:val="single"/>
        </w:rPr>
        <w:t>Begonja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F84CB1">
        <w:rPr>
          <w:rFonts w:ascii="Arial" w:hAnsi="Arial" w:cs="Arial"/>
          <w:sz w:val="24"/>
          <w:szCs w:val="24"/>
          <w:u w:val="single"/>
        </w:rPr>
        <w:t>dipl.ing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 xml:space="preserve"> (načelnik Općine </w:t>
      </w:r>
      <w:proofErr w:type="spellStart"/>
      <w:r w:rsidR="00F84CB1">
        <w:rPr>
          <w:rFonts w:ascii="Arial" w:hAnsi="Arial" w:cs="Arial"/>
          <w:sz w:val="24"/>
          <w:szCs w:val="24"/>
          <w:u w:val="single"/>
        </w:rPr>
        <w:t>Privlaka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>)</w:t>
      </w:r>
      <w:r w:rsidRPr="006965A1">
        <w:rPr>
          <w:rFonts w:ascii="Arial" w:hAnsi="Arial" w:cs="Arial"/>
          <w:sz w:val="24"/>
          <w:szCs w:val="24"/>
        </w:rPr>
        <w:t>, koordinator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2.</w:t>
      </w:r>
      <w:r w:rsidR="00350AE7">
        <w:rPr>
          <w:rFonts w:ascii="Arial" w:hAnsi="Arial" w:cs="Arial"/>
          <w:sz w:val="24"/>
          <w:szCs w:val="24"/>
        </w:rPr>
        <w:t xml:space="preserve"> Antonio Glavan</w:t>
      </w:r>
      <w:r w:rsidR="00F84C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CB1">
        <w:rPr>
          <w:rFonts w:ascii="Arial" w:hAnsi="Arial" w:cs="Arial"/>
          <w:sz w:val="24"/>
          <w:szCs w:val="24"/>
        </w:rPr>
        <w:t>Bacc.ing.prom</w:t>
      </w:r>
      <w:proofErr w:type="spellEnd"/>
      <w:r w:rsidR="00F84CB1">
        <w:rPr>
          <w:rFonts w:ascii="Arial" w:hAnsi="Arial" w:cs="Arial"/>
          <w:sz w:val="24"/>
          <w:szCs w:val="24"/>
        </w:rPr>
        <w:t>.</w:t>
      </w:r>
      <w:r w:rsidR="00F275CF">
        <w:rPr>
          <w:rFonts w:ascii="Arial" w:hAnsi="Arial" w:cs="Arial"/>
          <w:sz w:val="24"/>
          <w:szCs w:val="24"/>
        </w:rPr>
        <w:t xml:space="preserve"> (</w:t>
      </w:r>
      <w:r w:rsidR="00F84CB1">
        <w:rPr>
          <w:rFonts w:ascii="Arial" w:hAnsi="Arial" w:cs="Arial"/>
          <w:sz w:val="24"/>
          <w:szCs w:val="24"/>
        </w:rPr>
        <w:t xml:space="preserve">referent-komunalni redar Općine </w:t>
      </w:r>
      <w:proofErr w:type="spellStart"/>
      <w:r w:rsidR="00F84CB1">
        <w:rPr>
          <w:rFonts w:ascii="Arial" w:hAnsi="Arial" w:cs="Arial"/>
          <w:sz w:val="24"/>
          <w:szCs w:val="24"/>
        </w:rPr>
        <w:t>Privlaka</w:t>
      </w:r>
      <w:proofErr w:type="spellEnd"/>
      <w:r w:rsidR="00F84CB1">
        <w:rPr>
          <w:rFonts w:ascii="Arial" w:hAnsi="Arial" w:cs="Arial"/>
          <w:sz w:val="24"/>
          <w:szCs w:val="24"/>
        </w:rPr>
        <w:t>)</w:t>
      </w:r>
      <w:r w:rsidRPr="006965A1">
        <w:rPr>
          <w:rFonts w:ascii="Arial" w:hAnsi="Arial" w:cs="Arial"/>
          <w:sz w:val="24"/>
          <w:szCs w:val="24"/>
        </w:rPr>
        <w:t xml:space="preserve">, član </w:t>
      </w:r>
      <w:r w:rsidR="00E00E6F">
        <w:rPr>
          <w:rFonts w:ascii="Arial" w:hAnsi="Arial" w:cs="Arial"/>
          <w:sz w:val="24"/>
          <w:szCs w:val="24"/>
        </w:rPr>
        <w:t xml:space="preserve">za identificiranu prijetnju i rizik </w:t>
      </w:r>
      <w:r w:rsidR="000C6677">
        <w:rPr>
          <w:rFonts w:ascii="Arial" w:hAnsi="Arial" w:cs="Arial"/>
          <w:sz w:val="24"/>
          <w:szCs w:val="24"/>
        </w:rPr>
        <w:t>od potresa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3. </w:t>
      </w:r>
      <w:r w:rsidR="000C6677">
        <w:rPr>
          <w:rFonts w:ascii="Arial" w:hAnsi="Arial" w:cs="Arial"/>
          <w:sz w:val="24"/>
          <w:szCs w:val="24"/>
          <w:u w:val="single"/>
        </w:rPr>
        <w:t xml:space="preserve">Marjan </w:t>
      </w:r>
      <w:proofErr w:type="spellStart"/>
      <w:r w:rsidR="000C6677">
        <w:rPr>
          <w:rFonts w:ascii="Arial" w:hAnsi="Arial" w:cs="Arial"/>
          <w:sz w:val="24"/>
          <w:szCs w:val="24"/>
          <w:u w:val="single"/>
        </w:rPr>
        <w:t>Begonja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F84CB1">
        <w:rPr>
          <w:rFonts w:ascii="Arial" w:hAnsi="Arial" w:cs="Arial"/>
          <w:sz w:val="24"/>
          <w:szCs w:val="24"/>
          <w:u w:val="single"/>
        </w:rPr>
        <w:t>dipl.ing</w:t>
      </w:r>
      <w:proofErr w:type="spellEnd"/>
      <w:r w:rsidR="00F275CF">
        <w:rPr>
          <w:rFonts w:ascii="Arial" w:hAnsi="Arial" w:cs="Arial"/>
          <w:sz w:val="24"/>
          <w:szCs w:val="24"/>
          <w:u w:val="single"/>
        </w:rPr>
        <w:t xml:space="preserve"> (</w:t>
      </w:r>
      <w:r w:rsidR="00F84CB1">
        <w:rPr>
          <w:rFonts w:ascii="Arial" w:hAnsi="Arial" w:cs="Arial"/>
          <w:sz w:val="24"/>
          <w:szCs w:val="24"/>
          <w:u w:val="single"/>
        </w:rPr>
        <w:t xml:space="preserve">direktor komunalnog </w:t>
      </w:r>
      <w:proofErr w:type="spellStart"/>
      <w:r w:rsidR="00F84CB1">
        <w:rPr>
          <w:rFonts w:ascii="Arial" w:hAnsi="Arial" w:cs="Arial"/>
          <w:sz w:val="24"/>
          <w:szCs w:val="24"/>
          <w:u w:val="single"/>
        </w:rPr>
        <w:t>podzeća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 xml:space="preserve"> „</w:t>
      </w:r>
      <w:proofErr w:type="spellStart"/>
      <w:r w:rsidR="00F84CB1">
        <w:rPr>
          <w:rFonts w:ascii="Arial" w:hAnsi="Arial" w:cs="Arial"/>
          <w:sz w:val="24"/>
          <w:szCs w:val="24"/>
          <w:u w:val="single"/>
        </w:rPr>
        <w:t>Artić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>“)</w:t>
      </w:r>
      <w:r w:rsidR="007F60D4">
        <w:rPr>
          <w:rFonts w:ascii="Arial" w:hAnsi="Arial" w:cs="Arial"/>
          <w:sz w:val="24"/>
          <w:szCs w:val="24"/>
        </w:rPr>
        <w:t>,</w:t>
      </w:r>
      <w:r w:rsidRPr="006965A1">
        <w:rPr>
          <w:rFonts w:ascii="Arial" w:hAnsi="Arial" w:cs="Arial"/>
          <w:sz w:val="24"/>
          <w:szCs w:val="24"/>
        </w:rPr>
        <w:t xml:space="preserve"> član </w:t>
      </w:r>
      <w:r w:rsidR="00E00E6F">
        <w:rPr>
          <w:rFonts w:ascii="Arial" w:hAnsi="Arial" w:cs="Arial"/>
          <w:sz w:val="24"/>
          <w:szCs w:val="24"/>
        </w:rPr>
        <w:t xml:space="preserve">za identificiranu prijetnju i rizik </w:t>
      </w:r>
      <w:r w:rsidR="000C6677">
        <w:rPr>
          <w:rFonts w:ascii="Arial" w:hAnsi="Arial" w:cs="Arial"/>
          <w:sz w:val="24"/>
          <w:szCs w:val="24"/>
        </w:rPr>
        <w:t>od poplava</w:t>
      </w:r>
    </w:p>
    <w:p w:rsidR="00A65A04" w:rsidRPr="003D1074" w:rsidRDefault="00A65A04" w:rsidP="00A65A04">
      <w:pPr>
        <w:jc w:val="both"/>
        <w:rPr>
          <w:rFonts w:ascii="Arial" w:hAnsi="Arial" w:cs="Arial"/>
          <w:i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4.  </w:t>
      </w:r>
      <w:r w:rsidR="000C6677">
        <w:rPr>
          <w:rFonts w:ascii="Arial" w:hAnsi="Arial" w:cs="Arial"/>
          <w:sz w:val="24"/>
          <w:szCs w:val="24"/>
          <w:u w:val="single"/>
        </w:rPr>
        <w:t xml:space="preserve">Walter </w:t>
      </w:r>
      <w:proofErr w:type="spellStart"/>
      <w:r w:rsidR="000C6677">
        <w:rPr>
          <w:rFonts w:ascii="Arial" w:hAnsi="Arial" w:cs="Arial"/>
          <w:sz w:val="24"/>
          <w:szCs w:val="24"/>
          <w:u w:val="single"/>
        </w:rPr>
        <w:t>Jurac</w:t>
      </w:r>
      <w:proofErr w:type="spellEnd"/>
      <w:r w:rsidR="00F275CF">
        <w:rPr>
          <w:rFonts w:ascii="Arial" w:hAnsi="Arial" w:cs="Arial"/>
          <w:sz w:val="24"/>
          <w:szCs w:val="24"/>
          <w:u w:val="single"/>
        </w:rPr>
        <w:t xml:space="preserve"> </w:t>
      </w:r>
      <w:r w:rsidR="00F84CB1">
        <w:rPr>
          <w:rFonts w:ascii="Arial" w:hAnsi="Arial" w:cs="Arial"/>
          <w:sz w:val="24"/>
          <w:szCs w:val="24"/>
          <w:u w:val="single"/>
        </w:rPr>
        <w:t xml:space="preserve">(zapovjednik DVD </w:t>
      </w:r>
      <w:proofErr w:type="spellStart"/>
      <w:r w:rsidR="00F84CB1">
        <w:rPr>
          <w:rFonts w:ascii="Arial" w:hAnsi="Arial" w:cs="Arial"/>
          <w:sz w:val="24"/>
          <w:szCs w:val="24"/>
          <w:u w:val="single"/>
        </w:rPr>
        <w:t>Privlaka</w:t>
      </w:r>
      <w:proofErr w:type="spellEnd"/>
      <w:r w:rsidR="00F84CB1">
        <w:rPr>
          <w:rFonts w:ascii="Arial" w:hAnsi="Arial" w:cs="Arial"/>
          <w:sz w:val="24"/>
          <w:szCs w:val="24"/>
          <w:u w:val="single"/>
        </w:rPr>
        <w:t>)</w:t>
      </w:r>
      <w:r w:rsidRPr="006965A1">
        <w:rPr>
          <w:rFonts w:ascii="Arial" w:hAnsi="Arial" w:cs="Arial"/>
          <w:sz w:val="24"/>
          <w:szCs w:val="24"/>
        </w:rPr>
        <w:t xml:space="preserve">,  član </w:t>
      </w:r>
      <w:r w:rsidR="00E00E6F">
        <w:rPr>
          <w:rFonts w:ascii="Arial" w:hAnsi="Arial" w:cs="Arial"/>
          <w:sz w:val="24"/>
          <w:szCs w:val="24"/>
        </w:rPr>
        <w:t xml:space="preserve">za identificiranu prijetnju i rizik </w:t>
      </w:r>
      <w:r w:rsidR="000C6677">
        <w:rPr>
          <w:rFonts w:ascii="Arial" w:hAnsi="Arial" w:cs="Arial"/>
          <w:sz w:val="24"/>
          <w:szCs w:val="24"/>
        </w:rPr>
        <w:t>od požara otvorenog tipa</w:t>
      </w:r>
      <w:r w:rsidR="008E6757">
        <w:rPr>
          <w:rFonts w:ascii="Arial" w:hAnsi="Arial" w:cs="Arial"/>
          <w:sz w:val="24"/>
          <w:szCs w:val="24"/>
        </w:rPr>
        <w:t>.</w:t>
      </w:r>
    </w:p>
    <w:p w:rsidR="00A65A04" w:rsidRPr="006965A1" w:rsidRDefault="00A65A04" w:rsidP="00774D92">
      <w:pPr>
        <w:jc w:val="center"/>
        <w:rPr>
          <w:rFonts w:ascii="Arial" w:hAnsi="Arial" w:cs="Arial"/>
          <w:b/>
          <w:sz w:val="24"/>
          <w:szCs w:val="24"/>
        </w:rPr>
      </w:pPr>
    </w:p>
    <w:p w:rsidR="00517A4C" w:rsidRPr="006965A1" w:rsidRDefault="00517A4C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4.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 ima slijedeće obveze: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organizaciju i vođenje sastanaka Radne skupine,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- koordiniranje i nadziranje procesa izrade Procjene rizika, 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predlaganje izmjena i dopuna Procjene,</w:t>
      </w:r>
    </w:p>
    <w:p w:rsidR="00774D92" w:rsidRPr="006965A1" w:rsidRDefault="00774D92" w:rsidP="00774D92">
      <w:pPr>
        <w:jc w:val="center"/>
        <w:rPr>
          <w:rFonts w:ascii="Arial" w:hAnsi="Arial" w:cs="Arial"/>
          <w:b/>
          <w:sz w:val="24"/>
          <w:szCs w:val="24"/>
        </w:rPr>
      </w:pPr>
    </w:p>
    <w:p w:rsidR="00774D92" w:rsidRPr="006965A1" w:rsidRDefault="00517A4C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5.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Nositelji imaju slijedeće obvez</w:t>
      </w:r>
      <w:r w:rsidR="001D16E4">
        <w:rPr>
          <w:rFonts w:ascii="Arial" w:hAnsi="Arial" w:cs="Arial"/>
          <w:sz w:val="24"/>
          <w:szCs w:val="24"/>
        </w:rPr>
        <w:t>e</w:t>
      </w:r>
      <w:r w:rsidRPr="006965A1">
        <w:rPr>
          <w:rFonts w:ascii="Arial" w:hAnsi="Arial" w:cs="Arial"/>
          <w:sz w:val="24"/>
          <w:szCs w:val="24"/>
        </w:rPr>
        <w:t>: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- </w:t>
      </w:r>
      <w:r w:rsidR="00101CEA" w:rsidRPr="006965A1">
        <w:rPr>
          <w:rFonts w:ascii="Arial" w:hAnsi="Arial" w:cs="Arial"/>
          <w:sz w:val="24"/>
          <w:szCs w:val="24"/>
        </w:rPr>
        <w:t>izrađuje scenarije za određene rizike,</w:t>
      </w:r>
    </w:p>
    <w:p w:rsidR="00A65A04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odgovorni su za vjerodostojnost podataka iz svoje nadležnosti,</w:t>
      </w:r>
    </w:p>
    <w:p w:rsidR="00AE2C92" w:rsidRPr="006965A1" w:rsidRDefault="00AE2C92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sudjeluju u analizi i evaluaciji rizika za koji su prema Prilogu 1. ove Odluke utvrđeni nositeljima, sukladno uputama,</w:t>
      </w:r>
    </w:p>
    <w:p w:rsidR="00AE2C92" w:rsidRPr="006965A1" w:rsidRDefault="00A65A04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kontaktiraju s nadležnim tijelima</w:t>
      </w:r>
      <w:r w:rsidR="00AE2C92" w:rsidRPr="006965A1">
        <w:rPr>
          <w:rFonts w:ascii="Arial" w:hAnsi="Arial" w:cs="Arial"/>
          <w:sz w:val="24"/>
          <w:szCs w:val="24"/>
        </w:rPr>
        <w:t>, te znanstvenim institucijama</w:t>
      </w:r>
      <w:r w:rsidRPr="006965A1">
        <w:rPr>
          <w:rFonts w:ascii="Arial" w:hAnsi="Arial" w:cs="Arial"/>
          <w:sz w:val="24"/>
          <w:szCs w:val="24"/>
        </w:rPr>
        <w:t xml:space="preserve"> u </w:t>
      </w:r>
      <w:r w:rsidR="00AE2C92" w:rsidRPr="006965A1">
        <w:rPr>
          <w:rFonts w:ascii="Arial" w:hAnsi="Arial" w:cs="Arial"/>
          <w:sz w:val="24"/>
          <w:szCs w:val="24"/>
        </w:rPr>
        <w:t>svrhu prikupljanja informacija,</w:t>
      </w:r>
    </w:p>
    <w:p w:rsidR="00AE2C92" w:rsidRPr="006965A1" w:rsidRDefault="00AE2C92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o</w:t>
      </w:r>
      <w:r w:rsidR="00A65A04" w:rsidRPr="006965A1">
        <w:rPr>
          <w:rFonts w:ascii="Arial" w:hAnsi="Arial" w:cs="Arial"/>
          <w:sz w:val="24"/>
          <w:szCs w:val="24"/>
        </w:rPr>
        <w:t xml:space="preserve"> tijeku procesa prikupljanja podataka redov</w:t>
      </w:r>
      <w:r w:rsidRPr="006965A1">
        <w:rPr>
          <w:rFonts w:ascii="Arial" w:hAnsi="Arial" w:cs="Arial"/>
          <w:sz w:val="24"/>
          <w:szCs w:val="24"/>
        </w:rPr>
        <w:t>ito obavještavaju koordinatora,</w:t>
      </w:r>
    </w:p>
    <w:p w:rsidR="00AE2C92" w:rsidRPr="006965A1" w:rsidRDefault="00AE2C92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d</w:t>
      </w:r>
      <w:r w:rsidR="00A65A04" w:rsidRPr="006965A1">
        <w:rPr>
          <w:rFonts w:ascii="Arial" w:hAnsi="Arial" w:cs="Arial"/>
          <w:sz w:val="24"/>
          <w:szCs w:val="24"/>
        </w:rPr>
        <w:t>ostavljaju koordinatoru tražene podatke u zadanim rokovima te surađuju tijekom rada na procjeni.</w:t>
      </w:r>
    </w:p>
    <w:p w:rsidR="00101CEA" w:rsidRPr="006965A1" w:rsidRDefault="00101CEA" w:rsidP="00A65A04">
      <w:pPr>
        <w:jc w:val="both"/>
        <w:rPr>
          <w:rFonts w:ascii="Arial" w:hAnsi="Arial" w:cs="Arial"/>
          <w:sz w:val="24"/>
          <w:szCs w:val="24"/>
        </w:rPr>
      </w:pPr>
    </w:p>
    <w:p w:rsidR="00A65A04" w:rsidRPr="006965A1" w:rsidRDefault="00AE2C92" w:rsidP="00AE2C92">
      <w:pPr>
        <w:jc w:val="center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6</w:t>
      </w:r>
      <w:r w:rsidR="00A65A04" w:rsidRPr="006965A1">
        <w:rPr>
          <w:rFonts w:ascii="Arial" w:hAnsi="Arial" w:cs="Arial"/>
          <w:b/>
          <w:sz w:val="24"/>
          <w:szCs w:val="24"/>
        </w:rPr>
        <w:t>.</w:t>
      </w:r>
    </w:p>
    <w:p w:rsidR="00517A4C" w:rsidRPr="006965A1" w:rsidRDefault="00517A4C" w:rsidP="00A65A0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Izvršitelji imaju slijedeće obveze: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prikupljaju podatke za analizu i evaluaciju rizika,</w:t>
      </w:r>
    </w:p>
    <w:p w:rsidR="00101CEA" w:rsidRDefault="00517A4C" w:rsidP="007F60D4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- sudjeluju u izr</w:t>
      </w:r>
      <w:r w:rsidR="007F60D4">
        <w:rPr>
          <w:rFonts w:ascii="Arial" w:hAnsi="Arial" w:cs="Arial"/>
          <w:sz w:val="24"/>
          <w:szCs w:val="24"/>
        </w:rPr>
        <w:t>adi scenarija za pojedini rizik</w:t>
      </w:r>
    </w:p>
    <w:p w:rsidR="007F60D4" w:rsidRDefault="007F60D4" w:rsidP="007F60D4">
      <w:pPr>
        <w:jc w:val="both"/>
        <w:rPr>
          <w:rFonts w:ascii="Arial" w:hAnsi="Arial" w:cs="Arial"/>
          <w:sz w:val="24"/>
          <w:szCs w:val="24"/>
        </w:rPr>
      </w:pPr>
    </w:p>
    <w:p w:rsidR="00F275CF" w:rsidRPr="007F60D4" w:rsidRDefault="00F275CF" w:rsidP="007F60D4">
      <w:pPr>
        <w:jc w:val="both"/>
        <w:rPr>
          <w:rFonts w:ascii="Arial" w:hAnsi="Arial" w:cs="Arial"/>
          <w:sz w:val="24"/>
          <w:szCs w:val="24"/>
        </w:rPr>
      </w:pPr>
    </w:p>
    <w:p w:rsidR="00517A4C" w:rsidRPr="006965A1" w:rsidRDefault="00101CEA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lastRenderedPageBreak/>
        <w:t>Članak 7</w:t>
      </w:r>
      <w:r w:rsidR="00517A4C" w:rsidRPr="006965A1">
        <w:rPr>
          <w:rFonts w:ascii="Arial" w:hAnsi="Arial" w:cs="Arial"/>
          <w:b/>
          <w:sz w:val="24"/>
          <w:szCs w:val="24"/>
        </w:rPr>
        <w:t>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 dostavlja Prijedlog procjene glavn</w:t>
      </w:r>
      <w:r w:rsidR="00101CEA" w:rsidRPr="006965A1">
        <w:rPr>
          <w:rFonts w:ascii="Arial" w:hAnsi="Arial" w:cs="Arial"/>
          <w:sz w:val="24"/>
          <w:szCs w:val="24"/>
        </w:rPr>
        <w:t>om koordinatoru koji dostavlja</w:t>
      </w:r>
      <w:r w:rsidR="00B80A68">
        <w:rPr>
          <w:rFonts w:ascii="Arial" w:hAnsi="Arial" w:cs="Arial"/>
          <w:sz w:val="24"/>
          <w:szCs w:val="24"/>
        </w:rPr>
        <w:t xml:space="preserve"> Općinskom</w:t>
      </w:r>
      <w:r w:rsidRPr="006965A1">
        <w:rPr>
          <w:rFonts w:ascii="Arial" w:hAnsi="Arial" w:cs="Arial"/>
          <w:sz w:val="24"/>
          <w:szCs w:val="24"/>
        </w:rPr>
        <w:t xml:space="preserve"> vijeću prijedlog procjene rizika na donošenje.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Koordinator, nakon donošenja Procjene, nastavlja s praćenjem događaja i kretanja od značaja za procjenjivanje rizika iz područja nadležnosti te o promjenama, jedan puta godišnje ili po potrebi izvješćuje glavnog koordinatora.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Radna skupina za izradu Procjene predlaže glavnom koordinatoru pokretanje postupaka izmjena i dopuna Procjene, odnosno ažuriranja Procjene.</w:t>
      </w:r>
    </w:p>
    <w:p w:rsidR="00AE2C92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 xml:space="preserve">Procjena rizika od velikih nesreća za </w:t>
      </w:r>
      <w:r w:rsidR="00E66F6F">
        <w:rPr>
          <w:rFonts w:ascii="Arial" w:hAnsi="Arial" w:cs="Arial"/>
          <w:sz w:val="24"/>
          <w:szCs w:val="24"/>
        </w:rPr>
        <w:t>O</w:t>
      </w:r>
      <w:r w:rsidR="00B80A68">
        <w:rPr>
          <w:rFonts w:ascii="Arial" w:hAnsi="Arial" w:cs="Arial"/>
          <w:sz w:val="24"/>
          <w:szCs w:val="24"/>
        </w:rPr>
        <w:t>pćin</w:t>
      </w:r>
      <w:r w:rsidR="00E66F6F">
        <w:rPr>
          <w:rFonts w:ascii="Arial" w:hAnsi="Arial" w:cs="Arial"/>
          <w:sz w:val="24"/>
          <w:szCs w:val="24"/>
        </w:rPr>
        <w:t>u</w:t>
      </w:r>
      <w:r w:rsidRPr="00696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sz w:val="24"/>
          <w:szCs w:val="24"/>
        </w:rPr>
        <w:t>Privlaka</w:t>
      </w:r>
      <w:proofErr w:type="spellEnd"/>
      <w:r w:rsidRPr="006965A1">
        <w:rPr>
          <w:rFonts w:ascii="Arial" w:hAnsi="Arial" w:cs="Arial"/>
          <w:sz w:val="24"/>
          <w:szCs w:val="24"/>
        </w:rPr>
        <w:t xml:space="preserve"> izrađuje se najmanje jednom u tri godine te usklađivanje i usvajanje mora provesti do kraja mjeseca ožujka u svakom trogodišnjem ciklusu.  </w:t>
      </w:r>
    </w:p>
    <w:p w:rsidR="00517A4C" w:rsidRPr="006965A1" w:rsidRDefault="00AE2C92" w:rsidP="00AE2C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Procjena rizika od velikih nesreća za područje</w:t>
      </w:r>
      <w:r w:rsidR="00B80A68">
        <w:rPr>
          <w:rFonts w:ascii="Arial" w:hAnsi="Arial" w:cs="Arial"/>
          <w:sz w:val="24"/>
          <w:szCs w:val="24"/>
        </w:rPr>
        <w:t xml:space="preserve"> </w:t>
      </w:r>
      <w:r w:rsidR="00E66F6F">
        <w:rPr>
          <w:rFonts w:ascii="Arial" w:hAnsi="Arial" w:cs="Arial"/>
          <w:sz w:val="24"/>
          <w:szCs w:val="24"/>
        </w:rPr>
        <w:t>O</w:t>
      </w:r>
      <w:r w:rsidR="00B80A68">
        <w:rPr>
          <w:rFonts w:ascii="Arial" w:hAnsi="Arial" w:cs="Arial"/>
          <w:sz w:val="24"/>
          <w:szCs w:val="24"/>
        </w:rPr>
        <w:t>pćine</w:t>
      </w:r>
      <w:r w:rsidRPr="006965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F6F">
        <w:rPr>
          <w:rFonts w:ascii="Arial" w:hAnsi="Arial" w:cs="Arial"/>
          <w:sz w:val="24"/>
          <w:szCs w:val="24"/>
        </w:rPr>
        <w:t>Privlaka</w:t>
      </w:r>
      <w:proofErr w:type="spellEnd"/>
      <w:r w:rsidRPr="006965A1">
        <w:rPr>
          <w:rFonts w:ascii="Arial" w:hAnsi="Arial" w:cs="Arial"/>
          <w:sz w:val="24"/>
          <w:szCs w:val="24"/>
        </w:rPr>
        <w:t xml:space="preserve"> može se izrađivati i češće, ukoliko se u trogodišnjem periodu nastupi značajna promjena ulaznih parametara u korištenim scenarijima i postupcima analiziranja rizika ili ako se prepozna nova prijetnja.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517A4C" w:rsidRPr="006965A1" w:rsidRDefault="00101CEA" w:rsidP="00774D92">
      <w:pPr>
        <w:jc w:val="center"/>
        <w:rPr>
          <w:rFonts w:ascii="Arial" w:hAnsi="Arial" w:cs="Arial"/>
          <w:b/>
          <w:sz w:val="24"/>
          <w:szCs w:val="24"/>
        </w:rPr>
      </w:pPr>
      <w:r w:rsidRPr="006965A1">
        <w:rPr>
          <w:rFonts w:ascii="Arial" w:hAnsi="Arial" w:cs="Arial"/>
          <w:b/>
          <w:sz w:val="24"/>
          <w:szCs w:val="24"/>
        </w:rPr>
        <w:t>Članak 8</w:t>
      </w:r>
      <w:r w:rsidR="00517A4C" w:rsidRPr="006965A1">
        <w:rPr>
          <w:rFonts w:ascii="Arial" w:hAnsi="Arial" w:cs="Arial"/>
          <w:b/>
          <w:sz w:val="24"/>
          <w:szCs w:val="24"/>
        </w:rPr>
        <w:t>.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Ova Odluka stupa na snagu danom donošenja</w:t>
      </w:r>
      <w:r w:rsidR="00E66F6F">
        <w:rPr>
          <w:rFonts w:ascii="Arial" w:hAnsi="Arial" w:cs="Arial"/>
          <w:sz w:val="24"/>
          <w:szCs w:val="24"/>
        </w:rPr>
        <w:t>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K</w:t>
      </w:r>
      <w:r w:rsidR="00AE2C92" w:rsidRPr="006965A1">
        <w:rPr>
          <w:rFonts w:ascii="Arial" w:hAnsi="Arial" w:cs="Arial"/>
          <w:sz w:val="24"/>
          <w:szCs w:val="24"/>
        </w:rPr>
        <w:t>LASA</w:t>
      </w:r>
      <w:r w:rsidRPr="006965A1">
        <w:rPr>
          <w:rFonts w:ascii="Arial" w:hAnsi="Arial" w:cs="Arial"/>
          <w:sz w:val="24"/>
          <w:szCs w:val="24"/>
        </w:rPr>
        <w:t>:</w:t>
      </w:r>
      <w:r w:rsidR="006A70CC">
        <w:rPr>
          <w:rFonts w:ascii="Arial" w:hAnsi="Arial" w:cs="Arial"/>
          <w:sz w:val="24"/>
          <w:szCs w:val="24"/>
        </w:rPr>
        <w:t xml:space="preserve"> 810</w:t>
      </w:r>
      <w:r w:rsidR="002C3054">
        <w:rPr>
          <w:rFonts w:ascii="Arial" w:hAnsi="Arial" w:cs="Arial"/>
          <w:sz w:val="24"/>
          <w:szCs w:val="24"/>
        </w:rPr>
        <w:t>-01/18-01/01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t>U</w:t>
      </w:r>
      <w:r w:rsidR="00AE2C92" w:rsidRPr="006965A1">
        <w:rPr>
          <w:rFonts w:ascii="Arial" w:hAnsi="Arial" w:cs="Arial"/>
          <w:sz w:val="24"/>
          <w:szCs w:val="24"/>
        </w:rPr>
        <w:t>RBROJ</w:t>
      </w:r>
      <w:r w:rsidRPr="006965A1">
        <w:rPr>
          <w:rFonts w:ascii="Arial" w:hAnsi="Arial" w:cs="Arial"/>
          <w:sz w:val="24"/>
          <w:szCs w:val="24"/>
        </w:rPr>
        <w:t>:</w:t>
      </w:r>
      <w:r w:rsidR="002C3054">
        <w:rPr>
          <w:rFonts w:ascii="Arial" w:hAnsi="Arial" w:cs="Arial"/>
          <w:sz w:val="24"/>
          <w:szCs w:val="24"/>
        </w:rPr>
        <w:t>2198/28-02-18-1</w:t>
      </w:r>
      <w:bookmarkStart w:id="0" w:name="_GoBack"/>
      <w:bookmarkEnd w:id="0"/>
    </w:p>
    <w:p w:rsidR="00517A4C" w:rsidRPr="006965A1" w:rsidRDefault="00E66F6F" w:rsidP="00774D9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Privlaka</w:t>
      </w:r>
      <w:proofErr w:type="spellEnd"/>
      <w:r>
        <w:rPr>
          <w:rFonts w:ascii="Arial" w:hAnsi="Arial" w:cs="Arial"/>
          <w:sz w:val="24"/>
          <w:szCs w:val="24"/>
        </w:rPr>
        <w:t>, 15.siječnja 2018</w:t>
      </w:r>
      <w:r w:rsidR="00AE2C92" w:rsidRPr="006965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517A4C" w:rsidRPr="006965A1" w:rsidRDefault="00517A4C" w:rsidP="00774D92">
      <w:pPr>
        <w:jc w:val="both"/>
        <w:rPr>
          <w:rFonts w:ascii="Arial" w:hAnsi="Arial" w:cs="Arial"/>
          <w:sz w:val="24"/>
          <w:szCs w:val="24"/>
        </w:rPr>
      </w:pPr>
    </w:p>
    <w:p w:rsidR="00517A4C" w:rsidRDefault="00B80A68" w:rsidP="00774D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Načelnik</w:t>
      </w:r>
      <w:r w:rsidR="00E66F6F">
        <w:rPr>
          <w:rFonts w:ascii="Arial" w:hAnsi="Arial" w:cs="Arial"/>
          <w:sz w:val="24"/>
          <w:szCs w:val="24"/>
        </w:rPr>
        <w:t xml:space="preserve"> Općine </w:t>
      </w:r>
      <w:proofErr w:type="spellStart"/>
      <w:r w:rsidR="00E66F6F">
        <w:rPr>
          <w:rFonts w:ascii="Arial" w:hAnsi="Arial" w:cs="Arial"/>
          <w:sz w:val="24"/>
          <w:szCs w:val="24"/>
        </w:rPr>
        <w:t>Privlaka</w:t>
      </w:r>
      <w:proofErr w:type="spellEnd"/>
      <w:r w:rsidR="007F60D4">
        <w:rPr>
          <w:rFonts w:ascii="Arial" w:hAnsi="Arial" w:cs="Arial"/>
          <w:sz w:val="24"/>
          <w:szCs w:val="24"/>
        </w:rPr>
        <w:t>:</w:t>
      </w:r>
    </w:p>
    <w:p w:rsidR="007F60D4" w:rsidRPr="006965A1" w:rsidRDefault="00E66F6F" w:rsidP="00774D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Gašpar </w:t>
      </w:r>
      <w:proofErr w:type="spellStart"/>
      <w:r>
        <w:rPr>
          <w:rFonts w:ascii="Arial" w:hAnsi="Arial" w:cs="Arial"/>
          <w:sz w:val="24"/>
          <w:szCs w:val="24"/>
        </w:rPr>
        <w:t>Begonja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dipl.ing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br w:type="page"/>
      </w: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  <w:sectPr w:rsidR="00774D92" w:rsidRPr="006965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  <w:r w:rsidRPr="006965A1">
        <w:rPr>
          <w:rFonts w:ascii="Arial" w:hAnsi="Arial" w:cs="Arial"/>
          <w:sz w:val="24"/>
          <w:szCs w:val="24"/>
        </w:rPr>
        <w:lastRenderedPageBreak/>
        <w:t>Prilog 1.</w:t>
      </w:r>
    </w:p>
    <w:tbl>
      <w:tblPr>
        <w:tblStyle w:val="Reetkatablice"/>
        <w:tblW w:w="1446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92"/>
        <w:gridCol w:w="2062"/>
        <w:gridCol w:w="3722"/>
        <w:gridCol w:w="3649"/>
        <w:gridCol w:w="2137"/>
      </w:tblGrid>
      <w:tr w:rsidR="00774D92" w:rsidRPr="006965A1" w:rsidTr="00E7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28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Rizici</w:t>
            </w:r>
          </w:p>
        </w:tc>
        <w:tc>
          <w:tcPr>
            <w:tcW w:w="206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F60D4" w:rsidP="00AE2C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Koordinator</w:t>
            </w:r>
          </w:p>
        </w:tc>
        <w:tc>
          <w:tcPr>
            <w:tcW w:w="37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F60D4" w:rsidP="00AE2C9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Nositelji</w:t>
            </w:r>
          </w:p>
        </w:tc>
        <w:tc>
          <w:tcPr>
            <w:tcW w:w="364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Izvršitelji</w:t>
            </w:r>
          </w:p>
        </w:tc>
        <w:tc>
          <w:tcPr>
            <w:tcW w:w="213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:rsidR="00774D92" w:rsidRPr="006965A1" w:rsidRDefault="00774D92" w:rsidP="00AE2C92">
            <w:pPr>
              <w:rPr>
                <w:rFonts w:cs="Arial"/>
                <w:b/>
                <w:sz w:val="24"/>
                <w:szCs w:val="24"/>
              </w:rPr>
            </w:pPr>
            <w:r w:rsidRPr="006965A1">
              <w:rPr>
                <w:rFonts w:cs="Arial"/>
                <w:b/>
                <w:sz w:val="24"/>
                <w:szCs w:val="24"/>
              </w:rPr>
              <w:t>Konzultant</w:t>
            </w:r>
          </w:p>
        </w:tc>
      </w:tr>
      <w:tr w:rsidR="007F60D4" w:rsidRPr="006965A1" w:rsidTr="00AE2C92">
        <w:trPr>
          <w:trHeight w:val="1134"/>
        </w:trPr>
        <w:tc>
          <w:tcPr>
            <w:tcW w:w="2892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B80A68" w:rsidRDefault="009D32F9" w:rsidP="00E00E6F">
            <w:pPr>
              <w:jc w:val="both"/>
              <w:rPr>
                <w:rFonts w:cs="Arial"/>
                <w:i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POTRES</w:t>
            </w:r>
          </w:p>
        </w:tc>
        <w:tc>
          <w:tcPr>
            <w:tcW w:w="2062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6965A1" w:rsidRDefault="001D16E4" w:rsidP="007F60D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Zrinko Skoblar</w:t>
            </w:r>
          </w:p>
        </w:tc>
        <w:tc>
          <w:tcPr>
            <w:tcW w:w="3722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6965A1" w:rsidRDefault="009D32F9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Antonio Glavan</w:t>
            </w:r>
          </w:p>
        </w:tc>
        <w:tc>
          <w:tcPr>
            <w:tcW w:w="3649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6965A1" w:rsidRDefault="001D16E4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Željko Zorić</w:t>
            </w:r>
          </w:p>
        </w:tc>
        <w:tc>
          <w:tcPr>
            <w:tcW w:w="2137" w:type="dxa"/>
            <w:tcBorders>
              <w:top w:val="double" w:sz="2" w:space="0" w:color="auto"/>
            </w:tcBorders>
            <w:shd w:val="clear" w:color="auto" w:fill="FFFFFF" w:themeFill="background1"/>
          </w:tcPr>
          <w:p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  <w:tr w:rsidR="007F60D4" w:rsidRPr="006965A1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:rsidR="007F60D4" w:rsidRPr="00B80A68" w:rsidRDefault="009D32F9" w:rsidP="00E00E6F">
            <w:pPr>
              <w:jc w:val="both"/>
              <w:rPr>
                <w:rFonts w:cs="Arial"/>
                <w:i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POPLAVA</w:t>
            </w:r>
          </w:p>
        </w:tc>
        <w:tc>
          <w:tcPr>
            <w:tcW w:w="2062" w:type="dxa"/>
            <w:shd w:val="clear" w:color="auto" w:fill="FFFFFF" w:themeFill="background1"/>
          </w:tcPr>
          <w:p w:rsidR="007F60D4" w:rsidRPr="009D32F9" w:rsidRDefault="001D16E4" w:rsidP="007F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Dalibor Glavan</w:t>
            </w:r>
          </w:p>
        </w:tc>
        <w:tc>
          <w:tcPr>
            <w:tcW w:w="3722" w:type="dxa"/>
            <w:shd w:val="clear" w:color="auto" w:fill="FFFFFF" w:themeFill="background1"/>
          </w:tcPr>
          <w:p w:rsidR="007F60D4" w:rsidRPr="006965A1" w:rsidRDefault="009D32F9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Marjan </w:t>
            </w:r>
            <w:proofErr w:type="spellStart"/>
            <w:r>
              <w:rPr>
                <w:rFonts w:cs="Arial"/>
                <w:sz w:val="24"/>
                <w:szCs w:val="24"/>
              </w:rPr>
              <w:t>Begonja</w:t>
            </w:r>
            <w:proofErr w:type="spellEnd"/>
          </w:p>
        </w:tc>
        <w:tc>
          <w:tcPr>
            <w:tcW w:w="3649" w:type="dxa"/>
            <w:shd w:val="clear" w:color="auto" w:fill="FFFFFF" w:themeFill="background1"/>
          </w:tcPr>
          <w:p w:rsidR="007F60D4" w:rsidRPr="006965A1" w:rsidRDefault="001D16E4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Ante Šarić</w:t>
            </w:r>
          </w:p>
        </w:tc>
        <w:tc>
          <w:tcPr>
            <w:tcW w:w="2137" w:type="dxa"/>
            <w:shd w:val="clear" w:color="auto" w:fill="FFFFFF" w:themeFill="background1"/>
          </w:tcPr>
          <w:p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  <w:tr w:rsidR="007F60D4" w:rsidRPr="006965A1" w:rsidTr="007F60D4">
        <w:trPr>
          <w:trHeight w:val="1134"/>
        </w:trPr>
        <w:tc>
          <w:tcPr>
            <w:tcW w:w="2892" w:type="dxa"/>
            <w:shd w:val="clear" w:color="auto" w:fill="FFFFFF" w:themeFill="background1"/>
          </w:tcPr>
          <w:p w:rsidR="007F60D4" w:rsidRPr="00B80A68" w:rsidRDefault="009D32F9" w:rsidP="00E00E6F">
            <w:pPr>
              <w:jc w:val="both"/>
              <w:rPr>
                <w:rFonts w:cs="Arial"/>
                <w:i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POŽAR</w:t>
            </w:r>
            <w:r w:rsidR="008E6757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="Arial"/>
                <w:sz w:val="24"/>
                <w:szCs w:val="24"/>
                <w:highlight w:val="yellow"/>
              </w:rPr>
              <w:t>OTVORENOG TIPA</w:t>
            </w:r>
          </w:p>
        </w:tc>
        <w:tc>
          <w:tcPr>
            <w:tcW w:w="2062" w:type="dxa"/>
            <w:shd w:val="clear" w:color="auto" w:fill="FFFFFF" w:themeFill="background1"/>
          </w:tcPr>
          <w:p w:rsidR="007F60D4" w:rsidRPr="009D32F9" w:rsidRDefault="001D16E4" w:rsidP="007F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Nina </w:t>
            </w:r>
            <w:proofErr w:type="spellStart"/>
            <w:r>
              <w:rPr>
                <w:sz w:val="24"/>
                <w:szCs w:val="24"/>
              </w:rPr>
              <w:t>Škibola</w:t>
            </w:r>
            <w:proofErr w:type="spellEnd"/>
          </w:p>
        </w:tc>
        <w:tc>
          <w:tcPr>
            <w:tcW w:w="3722" w:type="dxa"/>
            <w:shd w:val="clear" w:color="auto" w:fill="FFFFFF" w:themeFill="background1"/>
          </w:tcPr>
          <w:p w:rsidR="007F60D4" w:rsidRPr="006965A1" w:rsidRDefault="009D32F9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Walter </w:t>
            </w:r>
            <w:proofErr w:type="spellStart"/>
            <w:r>
              <w:rPr>
                <w:rFonts w:cs="Arial"/>
                <w:sz w:val="24"/>
                <w:szCs w:val="24"/>
              </w:rPr>
              <w:t>Jurac</w:t>
            </w:r>
            <w:proofErr w:type="spellEnd"/>
          </w:p>
        </w:tc>
        <w:tc>
          <w:tcPr>
            <w:tcW w:w="3649" w:type="dxa"/>
            <w:shd w:val="clear" w:color="auto" w:fill="FFFFFF" w:themeFill="background1"/>
          </w:tcPr>
          <w:p w:rsidR="007F60D4" w:rsidRPr="006965A1" w:rsidRDefault="001D16E4" w:rsidP="007F60D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Željko </w:t>
            </w:r>
            <w:proofErr w:type="spellStart"/>
            <w:r>
              <w:rPr>
                <w:rFonts w:cs="Arial"/>
                <w:sz w:val="24"/>
                <w:szCs w:val="24"/>
              </w:rPr>
              <w:t>Šango</w:t>
            </w:r>
            <w:proofErr w:type="spellEnd"/>
          </w:p>
        </w:tc>
        <w:tc>
          <w:tcPr>
            <w:tcW w:w="2137" w:type="dxa"/>
            <w:shd w:val="clear" w:color="auto" w:fill="FFFFFF" w:themeFill="background1"/>
          </w:tcPr>
          <w:p w:rsidR="007F60D4" w:rsidRPr="006965A1" w:rsidRDefault="007F60D4" w:rsidP="007F60D4">
            <w:pPr>
              <w:rPr>
                <w:rFonts w:cs="Arial"/>
                <w:sz w:val="24"/>
                <w:szCs w:val="24"/>
              </w:rPr>
            </w:pPr>
            <w:r w:rsidRPr="006965A1">
              <w:rPr>
                <w:rFonts w:cs="Arial"/>
                <w:sz w:val="24"/>
                <w:szCs w:val="24"/>
              </w:rPr>
              <w:t>Alfa atest d.o.o.</w:t>
            </w:r>
          </w:p>
        </w:tc>
      </w:tr>
    </w:tbl>
    <w:p w:rsidR="00774D92" w:rsidRPr="006965A1" w:rsidRDefault="00774D92" w:rsidP="00774D92">
      <w:pPr>
        <w:jc w:val="both"/>
        <w:rPr>
          <w:rFonts w:ascii="Arial" w:hAnsi="Arial" w:cs="Arial"/>
          <w:sz w:val="24"/>
          <w:szCs w:val="24"/>
        </w:rPr>
      </w:pPr>
    </w:p>
    <w:sectPr w:rsidR="00774D92" w:rsidRPr="006965A1" w:rsidSect="00774D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74"/>
    <w:rsid w:val="00031C43"/>
    <w:rsid w:val="000C6677"/>
    <w:rsid w:val="00101CEA"/>
    <w:rsid w:val="00183266"/>
    <w:rsid w:val="001D16E4"/>
    <w:rsid w:val="002A3661"/>
    <w:rsid w:val="002B6919"/>
    <w:rsid w:val="002C3054"/>
    <w:rsid w:val="00302496"/>
    <w:rsid w:val="00350AE7"/>
    <w:rsid w:val="003D1074"/>
    <w:rsid w:val="004868F5"/>
    <w:rsid w:val="00517A4C"/>
    <w:rsid w:val="00620AE9"/>
    <w:rsid w:val="006965A1"/>
    <w:rsid w:val="006A70CC"/>
    <w:rsid w:val="00774D92"/>
    <w:rsid w:val="0078304D"/>
    <w:rsid w:val="007F60D4"/>
    <w:rsid w:val="0086250A"/>
    <w:rsid w:val="008E23CB"/>
    <w:rsid w:val="008E6757"/>
    <w:rsid w:val="009528A8"/>
    <w:rsid w:val="00964E74"/>
    <w:rsid w:val="00990B81"/>
    <w:rsid w:val="009D32F9"/>
    <w:rsid w:val="00A140C0"/>
    <w:rsid w:val="00A65A04"/>
    <w:rsid w:val="00A7525D"/>
    <w:rsid w:val="00AE2C92"/>
    <w:rsid w:val="00B80A68"/>
    <w:rsid w:val="00C30751"/>
    <w:rsid w:val="00E00E6F"/>
    <w:rsid w:val="00E514E8"/>
    <w:rsid w:val="00E66F6F"/>
    <w:rsid w:val="00E71D04"/>
    <w:rsid w:val="00F27437"/>
    <w:rsid w:val="00F275CF"/>
    <w:rsid w:val="00F8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F686"/>
  <w15:chartTrackingRefBased/>
  <w15:docId w15:val="{F6217020-F635-4663-9533-DE914C7C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7525D"/>
    <w:pPr>
      <w:spacing w:after="0" w:line="240" w:lineRule="auto"/>
      <w:jc w:val="center"/>
    </w:pPr>
    <w:rPr>
      <w:rFonts w:ascii="Arial" w:eastAsia="Calibri" w:hAnsi="Arial" w:cs="Times New Roman"/>
      <w:sz w:val="20"/>
      <w:szCs w:val="20"/>
      <w:lang w:eastAsia="hr-HR"/>
    </w:rPr>
    <w:tblPr>
      <w:tblBorders>
        <w:top w:val="double" w:sz="4" w:space="0" w:color="9BBB59"/>
        <w:left w:val="double" w:sz="4" w:space="0" w:color="9BBB59"/>
        <w:bottom w:val="double" w:sz="4" w:space="0" w:color="9BBB59"/>
        <w:right w:val="double" w:sz="4" w:space="0" w:color="9BBB59"/>
        <w:insideH w:val="single" w:sz="6" w:space="0" w:color="9BBB59"/>
        <w:insideV w:val="single" w:sz="6" w:space="0" w:color="9BBB59"/>
      </w:tblBorders>
    </w:tblPr>
    <w:tcPr>
      <w:shd w:val="clear" w:color="auto" w:fill="DEEAF6" w:themeFill="accent1" w:themeFillTint="33"/>
      <w:vAlign w:val="center"/>
    </w:tcPr>
    <w:tblStylePr w:type="firstRow">
      <w:tblPr/>
      <w:tcPr>
        <w:tcBorders>
          <w:top w:val="double" w:sz="2" w:space="0" w:color="70AD47" w:themeColor="accent6"/>
          <w:left w:val="double" w:sz="2" w:space="0" w:color="70AD47" w:themeColor="accent6"/>
          <w:bottom w:val="double" w:sz="2" w:space="0" w:color="70AD47" w:themeColor="accent6"/>
          <w:right w:val="double" w:sz="2" w:space="0" w:color="70AD47" w:themeColor="accent6"/>
          <w:insideH w:val="single" w:sz="6" w:space="0" w:color="70AD47" w:themeColor="accent6"/>
          <w:insideV w:val="single" w:sz="6" w:space="0" w:color="70AD47" w:themeColor="accent6"/>
          <w:tl2br w:val="nil"/>
          <w:tr2bl w:val="nil"/>
        </w:tcBorders>
        <w:shd w:val="clear" w:color="auto" w:fill="BDD6EE" w:themeFill="accent1" w:themeFillTint="66"/>
      </w:tcPr>
    </w:tblStylePr>
    <w:tblStylePr w:type="lastRow">
      <w:rPr>
        <w:sz w:val="20"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7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E1F8-58C5-49F8-9ACC-A870D739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Alfa_atest</dc:creator>
  <cp:keywords/>
  <dc:description/>
  <cp:lastModifiedBy>Korisnik</cp:lastModifiedBy>
  <cp:revision>19</cp:revision>
  <cp:lastPrinted>2017-09-07T08:24:00Z</cp:lastPrinted>
  <dcterms:created xsi:type="dcterms:W3CDTF">2017-09-07T06:41:00Z</dcterms:created>
  <dcterms:modified xsi:type="dcterms:W3CDTF">2018-01-15T11:33:00Z</dcterms:modified>
</cp:coreProperties>
</file>