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REPUBLIKA HRVATSKA                          </w:t>
      </w:r>
      <w:r>
        <w:rPr>
          <w:rFonts w:ascii="Times New Roman" w:hAnsi="Times New Roman"/>
          <w:sz w:val="24"/>
          <w:szCs w:val="24"/>
        </w:rPr>
        <w:tab/>
        <w:t xml:space="preserve">   Razina: 22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ZADARSKA ŽUPANIJA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RKP:  35118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PRIVLAKA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Žiro račun: 2330003-1857400004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Matični broj: 02690314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OIB:   86291327705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Šifra djelatnosti: 8411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 FINANCIJSKO IZVJEŠĆE ZA RAZDOBLJE</w:t>
      </w:r>
    </w:p>
    <w:p w:rsidR="00EB02E1" w:rsidRDefault="00EB02E1" w:rsidP="00EB0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>
        <w:rPr>
          <w:rFonts w:ascii="Times New Roman" w:hAnsi="Times New Roman"/>
          <w:b/>
          <w:sz w:val="24"/>
          <w:szCs w:val="24"/>
        </w:rPr>
        <w:tab/>
        <w:t>siječnja do 31. prosinca 2017.g.</w:t>
      </w:r>
    </w:p>
    <w:p w:rsidR="00EB02E1" w:rsidRPr="00EB02E1" w:rsidRDefault="00EB02E1" w:rsidP="00EB02E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EB02E1" w:rsidRDefault="00EB02E1" w:rsidP="00EB02E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EB02E1" w:rsidRDefault="00EB02E1" w:rsidP="00AD7609">
      <w:pPr>
        <w:keepNext/>
        <w:suppressAutoHyphens w:val="0"/>
        <w:overflowPunct w:val="0"/>
        <w:autoSpaceDE w:val="0"/>
        <w:autoSpaceDN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</w:pPr>
      <w:proofErr w:type="spellStart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Bilje</w:t>
      </w:r>
      <w:proofErr w:type="spellEnd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>š</w:t>
      </w:r>
      <w:proofErr w:type="spellStart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ke</w:t>
      </w:r>
      <w:proofErr w:type="spellEnd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uz</w:t>
      </w:r>
      <w:proofErr w:type="spellEnd"/>
      <w:r w:rsidRPr="00EB02E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r w:rsidR="000E14A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financijski izvještaj za razdoblje </w:t>
      </w:r>
      <w:proofErr w:type="gramStart"/>
      <w:r w:rsidR="000E14A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>od</w:t>
      </w:r>
      <w:proofErr w:type="gramEnd"/>
      <w:r w:rsidR="000E14A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01. siječnja do 31. prosinca 2017.g. </w:t>
      </w:r>
    </w:p>
    <w:p w:rsidR="00EB02E1" w:rsidRPr="00EB02E1" w:rsidRDefault="00EB02E1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3FB0" w:rsidRDefault="00895744" w:rsidP="0089574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Financijsko izvješće za razdoblje od 01. siječnja do 31. prosinca 2017. godine sastavlja se sukladno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Pravilniku o financijskom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izvještavanju u proračunskom računovodstvu </w:t>
      </w:r>
    </w:p>
    <w:p w:rsidR="00895744" w:rsidRDefault="00FF3FB0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 NN broj: 3/15, 93/15, 135/15, 2/17 i 28/17)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te Okružnici o predaji financijskih izvještaja jedinica lokalne i područne (regionalne) samouprave, proračunskih i izvanproračunskih korisnika proračuna jedinca lokalne i područne (regionalne) samouprave za razdoblje od 1. siječnja do 31. prosinca 201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godine, objavljene od strane Ministarstva financija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. siječnja 201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9D6E9B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odine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B02E1" w:rsidRPr="00EB02E1" w:rsidRDefault="00895744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obrascu PR-RAS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prikazuju se podaci  ostvarenje u izvještajnom</w:t>
      </w:r>
      <w:r w:rsidR="00FF3F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razdoblju prethodne godine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i uspoređuju se sa podacima izvršeno tekuće godine i u b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ilješkama uz obrazac PR-RAS potrebno je navesti razloge zbog kojih je došlo do većih odstupanja od ostvarenja u izvještajnom razdoblju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>prethodn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AD7609" w:rsidRDefault="00EB02E1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PR-RAS jedinice lokalne i područne (regionalne) samouprave 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>obuhvaća</w:t>
      </w:r>
      <w:r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 prihode i primitke te rashode i izdatke proračuna</w:t>
      </w:r>
      <w:r w:rsidR="00AD760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D7609" w:rsidRDefault="00AD7609" w:rsidP="00EB02E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rashode su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uključujući plaćen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rashod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proračunsko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korisnik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95744">
        <w:rPr>
          <w:rFonts w:ascii="Times New Roman" w:eastAsia="Times New Roman" w:hAnsi="Times New Roman"/>
          <w:sz w:val="24"/>
          <w:szCs w:val="24"/>
          <w:lang w:eastAsia="hr-HR"/>
        </w:rPr>
        <w:t xml:space="preserve"> Općine Privlaka </w:t>
      </w:r>
      <w:r w:rsidR="00EB02E1" w:rsidRPr="00EB02E1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financiraju iz prihoda i primitaka proračuna.</w:t>
      </w:r>
    </w:p>
    <w:p w:rsidR="000E14AE" w:rsidRDefault="000E14AE" w:rsidP="00EB02E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B02E1" w:rsidRDefault="000E14AE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na žiro računu na dan 31. prosinca 2017.g iznosi 13.308.198,95 kn.</w:t>
      </w:r>
    </w:p>
    <w:p w:rsidR="000E14AE" w:rsidRDefault="000E14AE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u blagajni na dan 31. prosinca 2017.g. iznosi 1.456,19 kn.</w:t>
      </w:r>
    </w:p>
    <w:p w:rsidR="000E14AE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EB02E1" w:rsidRDefault="000E14AE" w:rsidP="000E14AE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2F369D" w:rsidRDefault="000E14AE" w:rsidP="000E14AE">
      <w:pPr>
        <w:keepNext/>
        <w:suppressAutoHyphens w:val="0"/>
        <w:overflowPunct w:val="0"/>
        <w:autoSpaceDE w:val="0"/>
        <w:autoSpaceDN/>
        <w:adjustRightInd w:val="0"/>
        <w:spacing w:after="0" w:line="240" w:lineRule="auto"/>
        <w:ind w:left="36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</w:pP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Bilje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>š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ke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uz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Izvje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>š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taj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o</w:t>
      </w:r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prihodima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rashodima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,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primicima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i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hr-HR"/>
        </w:rPr>
        <w:t xml:space="preserve"> </w:t>
      </w:r>
      <w:proofErr w:type="spellStart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>izdacima</w:t>
      </w:r>
      <w:proofErr w:type="spellEnd"/>
      <w:r w:rsidRPr="002F369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hr-HR"/>
        </w:rPr>
        <w:t xml:space="preserve"> (PR-RAS)</w:t>
      </w:r>
    </w:p>
    <w:p w:rsidR="000E14AE" w:rsidRPr="002F369D" w:rsidRDefault="000E14AE" w:rsidP="000E14A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D7609" w:rsidRPr="00AD7609" w:rsidRDefault="00AD7609" w:rsidP="00AD7609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D7609" w:rsidRPr="00AD7609" w:rsidRDefault="00AD7609" w:rsidP="00AD7609">
      <w:pPr>
        <w:pStyle w:val="Odlomakpopisa"/>
        <w:keepNext/>
        <w:numPr>
          <w:ilvl w:val="0"/>
          <w:numId w:val="8"/>
        </w:numPr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D7609">
        <w:rPr>
          <w:rFonts w:ascii="Times New Roman" w:eastAsia="Times New Roman" w:hAnsi="Times New Roman"/>
          <w:b/>
          <w:sz w:val="24"/>
          <w:szCs w:val="24"/>
          <w:lang w:eastAsia="hr-HR"/>
        </w:rPr>
        <w:t>BILJEŠKA BROJ 1</w:t>
      </w:r>
    </w:p>
    <w:p w:rsidR="00AD7609" w:rsidRPr="00AD7609" w:rsidRDefault="00AD7609" w:rsidP="00AD7609">
      <w:pPr>
        <w:keepNext/>
        <w:suppressAutoHyphens w:val="0"/>
        <w:autoSpaceDN/>
        <w:spacing w:after="0" w:line="360" w:lineRule="auto"/>
        <w:ind w:left="36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D760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PRIHODI </w:t>
      </w:r>
    </w:p>
    <w:p w:rsidR="00AD7609" w:rsidRPr="00AD7609" w:rsidRDefault="00AD7609" w:rsidP="00667DE0">
      <w:pPr>
        <w:suppressAutoHyphens w:val="0"/>
        <w:autoSpaceDN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rihodi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poslovanja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izvještajno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iznos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u od 15.672.388,80 kn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(AOP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>001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što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je 55,3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više u odnosu na 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2016. </w:t>
      </w:r>
      <w:r w:rsidR="00DF60CC">
        <w:rPr>
          <w:rFonts w:ascii="Times New Roman" w:eastAsia="Times New Roman" w:hAnsi="Times New Roman"/>
          <w:bCs/>
          <w:sz w:val="24"/>
          <w:szCs w:val="24"/>
          <w:lang w:eastAsia="hr-HR"/>
        </w:rPr>
        <w:t>g</w:t>
      </w:r>
      <w:r w:rsidRPr="00AD7609">
        <w:rPr>
          <w:rFonts w:ascii="Times New Roman" w:eastAsia="Times New Roman" w:hAnsi="Times New Roman"/>
          <w:bCs/>
          <w:sz w:val="24"/>
          <w:szCs w:val="24"/>
          <w:lang w:eastAsia="hr-HR"/>
        </w:rPr>
        <w:t>odinu</w:t>
      </w:r>
      <w:r w:rsidR="00DF60CC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304D3" w:rsidRDefault="00DF60CC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načajno odstupanje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ostvarenih prihoda u odnosu na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p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>rethodn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u</w:t>
      </w:r>
    </w:p>
    <w:p w:rsidR="007F5494" w:rsidRDefault="007F5494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 xml:space="preserve"> za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DF60C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D154F1" w:rsidRDefault="00DF60CC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-</w:t>
      </w:r>
      <w:r w:rsidR="00D154F1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poreze na imovinu </w:t>
      </w:r>
      <w:r w:rsidR="007F5494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</w:t>
      </w:r>
      <w:r w:rsidR="00D154F1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AOP 018</w:t>
      </w:r>
      <w:r w:rsidR="007F5494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  je u iznosu od 5.710.130,00 kn  i odnosi se na porez na kuće za odmor 1.509.157,14 kn i porez na promet nekretnina 4.201.072,89 kn što je 67,9% više u odnosu na 2016. </w:t>
      </w:r>
      <w:r w:rsidR="005304D3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7F5494">
        <w:rPr>
          <w:rFonts w:ascii="Times New Roman" w:eastAsia="Times New Roman" w:hAnsi="Times New Roman"/>
          <w:sz w:val="24"/>
          <w:szCs w:val="24"/>
          <w:lang w:eastAsia="hr-HR"/>
        </w:rPr>
        <w:t xml:space="preserve">odinu; </w:t>
      </w:r>
      <w:r w:rsidR="00D154F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304D3" w:rsidRDefault="005304D3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304D3" w:rsidRDefault="005304D3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7609" w:rsidRPr="00AD7609" w:rsidRDefault="005304D3" w:rsidP="00AD760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AD7609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pomoći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proračunu iz drugih proračuna </w:t>
      </w: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(AOP </w:t>
      </w:r>
      <w:r w:rsidR="000542DD"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054 )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ost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>varen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su u iznosu od</w:t>
      </w:r>
      <w:r w:rsidR="000542DD">
        <w:rPr>
          <w:rFonts w:ascii="Times New Roman" w:eastAsia="Times New Roman" w:hAnsi="Times New Roman"/>
          <w:sz w:val="24"/>
          <w:szCs w:val="24"/>
          <w:lang w:eastAsia="hr-HR"/>
        </w:rPr>
        <w:t xml:space="preserve"> 2.865.602,39</w:t>
      </w:r>
      <w:r w:rsidR="00AD7609"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 kn, a odnose se na:</w:t>
      </w:r>
    </w:p>
    <w:p w:rsidR="000542DD" w:rsidRDefault="000542DD" w:rsidP="005304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a)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tekuće pomoći iz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Državnog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 proračuna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RH u iznosu od 2.753.823,10 </w:t>
      </w:r>
      <w:r w:rsidR="00AD7609"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kn 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0542DD" w:rsidRDefault="000542DD" w:rsidP="005304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b) kapitalna pomoć Ministarstva kulture  RH u iznosu od 4.000,00 kn;</w:t>
      </w:r>
    </w:p>
    <w:p w:rsidR="000542DD" w:rsidRDefault="000542DD" w:rsidP="005304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c) tekuća pomoć Zadarske županije 107.779,29 kn</w:t>
      </w:r>
      <w:r w:rsidR="00667DE0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667DE0" w:rsidRDefault="00667DE0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67DE0">
        <w:rPr>
          <w:rFonts w:ascii="Times New Roman" w:eastAsia="Times New Roman" w:hAnsi="Times New Roman"/>
          <w:b/>
          <w:sz w:val="24"/>
          <w:szCs w:val="24"/>
          <w:lang w:eastAsia="hr-HR"/>
        </w:rPr>
        <w:t>- prihodi od financijske imovine (AOP 075 )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69.616,89</w:t>
      </w:r>
      <w:r w:rsidR="00AD7609" w:rsidRP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 kn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odnose se na:</w:t>
      </w:r>
    </w:p>
    <w:p w:rsidR="00667DE0" w:rsidRDefault="00667DE0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a) kamate na jednokratno oročena</w:t>
      </w:r>
      <w:r w:rsidR="00AD7609" w:rsidRP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sredstva kod poslovne banke i </w:t>
      </w:r>
      <w:r w:rsidR="00AD7609" w:rsidRPr="00667DE0">
        <w:rPr>
          <w:rFonts w:ascii="Times New Roman" w:eastAsia="Times New Roman" w:hAnsi="Times New Roman"/>
          <w:sz w:val="24"/>
          <w:szCs w:val="24"/>
          <w:lang w:eastAsia="hr-HR"/>
        </w:rPr>
        <w:t xml:space="preserve">ostvareni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su u iznosu od 68.419,12 kn;</w:t>
      </w:r>
    </w:p>
    <w:p w:rsidR="00A90041" w:rsidRDefault="00667DE0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b) kamate na depozite po viđenju ostvaren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 u iznosu od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1.197,77 kn;</w:t>
      </w:r>
    </w:p>
    <w:p w:rsidR="00A90041" w:rsidRDefault="00A90041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c) zatezne kamate ostvareni u iznosu od 168,60 kn:</w:t>
      </w:r>
    </w:p>
    <w:p w:rsidR="00AA3123" w:rsidRDefault="00AA3123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AA312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ostali nespomenuti prihodi (AOP 116 )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ostvareni </w:t>
      </w:r>
      <w:r w:rsidRPr="00AA3123">
        <w:rPr>
          <w:rFonts w:ascii="Times New Roman" w:eastAsia="Times New Roman" w:hAnsi="Times New Roman"/>
          <w:sz w:val="24"/>
          <w:szCs w:val="24"/>
          <w:lang w:eastAsia="hr-HR"/>
        </w:rPr>
        <w:t>su u iznosu od 414.002,97 kn i odnose se na:</w:t>
      </w:r>
    </w:p>
    <w:p w:rsidR="00AA3123" w:rsidRDefault="00AA3123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a) prihodi na temelju refundacija iz prethodnih godina u iznosu od 17.812,50 kn;</w:t>
      </w:r>
    </w:p>
    <w:p w:rsidR="00AA3123" w:rsidRDefault="00AA3123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b) prihodi katastarske izmjere u iznosu od 6.000,00 kn;</w:t>
      </w:r>
    </w:p>
    <w:p w:rsidR="00AA3123" w:rsidRDefault="00AA3123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c) prihodi Hrvatskih voda u iznosu od 53.525,90 kn;</w:t>
      </w:r>
    </w:p>
    <w:p w:rsidR="00473FBF" w:rsidRDefault="00AA3123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d) </w:t>
      </w:r>
      <w:r w:rsidR="00473FBF">
        <w:rPr>
          <w:rFonts w:ascii="Times New Roman" w:eastAsia="Times New Roman" w:hAnsi="Times New Roman"/>
          <w:sz w:val="24"/>
          <w:szCs w:val="24"/>
          <w:lang w:eastAsia="hr-HR"/>
        </w:rPr>
        <w:t>ostali prihodi troškovi ovrhe i stručno osposobljavanje u iznosu od 7.625,34 kn;</w:t>
      </w:r>
    </w:p>
    <w:p w:rsidR="00AA3123" w:rsidRPr="00AA3123" w:rsidRDefault="00473FBF" w:rsidP="00AA3123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d) Hrvatski zavod za zapošljavanje u iznosu od 329.039,23 kn i odnose se na plaće zaposlenih preko HZ</w:t>
      </w:r>
      <w:r w:rsidR="00844D19">
        <w:rPr>
          <w:rFonts w:ascii="Times New Roman" w:eastAsia="Times New Roman" w:hAnsi="Times New Roman"/>
          <w:sz w:val="24"/>
          <w:szCs w:val="24"/>
          <w:lang w:eastAsia="hr-HR"/>
        </w:rPr>
        <w:t>Z-a na javnim radovima.</w:t>
      </w:r>
      <w:r w:rsid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:rsidR="004A2830" w:rsidRDefault="00AD7609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D7609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          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Najznačajnija negativna odstupanja imamo kod </w:t>
      </w:r>
      <w:r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prihoda od </w:t>
      </w:r>
      <w:r w:rsidR="00A90041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ne</w:t>
      </w:r>
      <w:r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financijske imovine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(AOP 0</w:t>
      </w:r>
      <w:r w:rsidR="00A90041"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83</w:t>
      </w:r>
      <w:r w:rsidRPr="00A90041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Pr="00AD76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i to za prihode naknada za koncesije 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 koncesijska odobrenja koji su ostvareni u iznosu od  152,154,55 kn što je 25,50 % manje u odnosu na 2016.g. , 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 xml:space="preserve">a razlog je manje zainteresiranih osoba za dodjelu koncesijskih odobrenja, </w:t>
      </w:r>
      <w:r w:rsidR="00A90041">
        <w:rPr>
          <w:rFonts w:ascii="Times New Roman" w:eastAsia="Times New Roman" w:hAnsi="Times New Roman"/>
          <w:sz w:val="24"/>
          <w:szCs w:val="24"/>
          <w:lang w:eastAsia="hr-HR"/>
        </w:rPr>
        <w:t xml:space="preserve">za prihode od naknade za nezakonito zadržavanje objekta (legalizacija) </w:t>
      </w:r>
      <w:r w:rsidR="00D55B09">
        <w:rPr>
          <w:rFonts w:ascii="Times New Roman" w:eastAsia="Times New Roman" w:hAnsi="Times New Roman"/>
          <w:sz w:val="24"/>
          <w:szCs w:val="24"/>
          <w:lang w:eastAsia="hr-HR"/>
        </w:rPr>
        <w:t>koji su ostvareni u iznosu od 161.951,95 to je za 26,90% manje u odnosu na 2016. g. zbog manje riješenih predmeta Zadarske županije</w:t>
      </w:r>
      <w:r w:rsidR="004A283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312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4A2830" w:rsidRDefault="004A2830" w:rsidP="00AD7609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B02E1" w:rsidRPr="00844D19" w:rsidRDefault="00844D19" w:rsidP="00844D19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D19">
        <w:rPr>
          <w:rFonts w:ascii="Times New Roman" w:hAnsi="Times New Roman"/>
          <w:b/>
          <w:sz w:val="24"/>
          <w:szCs w:val="24"/>
        </w:rPr>
        <w:t>BILJEŠKA BROJ 2</w:t>
      </w:r>
    </w:p>
    <w:p w:rsidR="00844D19" w:rsidRDefault="00844D19" w:rsidP="00844D1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44D19">
        <w:rPr>
          <w:rFonts w:ascii="Times New Roman" w:hAnsi="Times New Roman"/>
          <w:b/>
          <w:sz w:val="24"/>
          <w:szCs w:val="24"/>
        </w:rPr>
        <w:t>RASHODI</w:t>
      </w:r>
    </w:p>
    <w:p w:rsidR="00844D19" w:rsidRDefault="00844D19" w:rsidP="00844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44D19" w:rsidRDefault="00844D19" w:rsidP="00844D1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 za izvještajno razdoblje  ostvareni su u iznosu od 8.345.611,19 kn.</w:t>
      </w:r>
    </w:p>
    <w:p w:rsidR="00844D19" w:rsidRDefault="000003BF" w:rsidP="00844D1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Veća o</w:t>
      </w:r>
      <w:r w:rsidR="00844D19">
        <w:rPr>
          <w:rFonts w:ascii="Times New Roman" w:hAnsi="Times New Roman"/>
          <w:sz w:val="24"/>
          <w:szCs w:val="24"/>
        </w:rPr>
        <w:t>dstupanja u odnosu na prethodnu 2016. godinu su kod rashoda za :</w:t>
      </w:r>
    </w:p>
    <w:p w:rsidR="00844D19" w:rsidRDefault="00844D19" w:rsidP="00844D1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44D19">
        <w:rPr>
          <w:rFonts w:ascii="Times New Roman" w:hAnsi="Times New Roman"/>
          <w:b/>
          <w:sz w:val="24"/>
          <w:szCs w:val="24"/>
        </w:rPr>
        <w:t xml:space="preserve">- </w:t>
      </w:r>
      <w:r w:rsidR="000003BF">
        <w:rPr>
          <w:rFonts w:ascii="Times New Roman" w:hAnsi="Times New Roman"/>
          <w:b/>
          <w:sz w:val="24"/>
          <w:szCs w:val="24"/>
        </w:rPr>
        <w:t xml:space="preserve">rashodi za zaposlene </w:t>
      </w:r>
      <w:r w:rsidRPr="00844D19">
        <w:rPr>
          <w:rFonts w:ascii="Times New Roman" w:hAnsi="Times New Roman"/>
          <w:b/>
          <w:sz w:val="24"/>
          <w:szCs w:val="24"/>
        </w:rPr>
        <w:t xml:space="preserve"> (AOP 1</w:t>
      </w:r>
      <w:r w:rsidR="000003BF">
        <w:rPr>
          <w:rFonts w:ascii="Times New Roman" w:hAnsi="Times New Roman"/>
          <w:b/>
          <w:sz w:val="24"/>
          <w:szCs w:val="24"/>
        </w:rPr>
        <w:t>49</w:t>
      </w:r>
      <w:r w:rsidRPr="00844D19">
        <w:rPr>
          <w:rFonts w:ascii="Times New Roman" w:hAnsi="Times New Roman"/>
          <w:b/>
          <w:sz w:val="24"/>
          <w:szCs w:val="24"/>
        </w:rPr>
        <w:t xml:space="preserve"> </w:t>
      </w:r>
      <w:r w:rsidRPr="00844D19">
        <w:rPr>
          <w:rFonts w:ascii="Times New Roman" w:hAnsi="Times New Roman"/>
          <w:sz w:val="24"/>
          <w:szCs w:val="24"/>
        </w:rPr>
        <w:t xml:space="preserve">) i ostvareni su u iznosu od </w:t>
      </w:r>
      <w:r>
        <w:rPr>
          <w:rFonts w:ascii="Times New Roman" w:hAnsi="Times New Roman"/>
          <w:sz w:val="24"/>
          <w:szCs w:val="24"/>
        </w:rPr>
        <w:t>1.</w:t>
      </w:r>
      <w:r w:rsidR="000003BF">
        <w:rPr>
          <w:rFonts w:ascii="Times New Roman" w:hAnsi="Times New Roman"/>
          <w:sz w:val="24"/>
          <w:szCs w:val="24"/>
        </w:rPr>
        <w:t>321.323,50</w:t>
      </w:r>
      <w:r>
        <w:rPr>
          <w:rFonts w:ascii="Times New Roman" w:hAnsi="Times New Roman"/>
          <w:sz w:val="24"/>
          <w:szCs w:val="24"/>
        </w:rPr>
        <w:t xml:space="preserve"> kn  što je 32,</w:t>
      </w:r>
      <w:r w:rsidR="000003B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% više u odnosu na 2016. godinu </w:t>
      </w:r>
      <w:r w:rsidR="008E637D">
        <w:rPr>
          <w:rFonts w:ascii="Times New Roman" w:hAnsi="Times New Roman"/>
          <w:sz w:val="24"/>
          <w:szCs w:val="24"/>
        </w:rPr>
        <w:t>i</w:t>
      </w:r>
      <w:r w:rsidR="000003BF">
        <w:rPr>
          <w:rFonts w:ascii="Times New Roman" w:hAnsi="Times New Roman"/>
          <w:sz w:val="24"/>
          <w:szCs w:val="24"/>
        </w:rPr>
        <w:t xml:space="preserve"> odnosi se na bruto plaće</w:t>
      </w:r>
      <w:r w:rsidR="008E637D">
        <w:rPr>
          <w:rFonts w:ascii="Times New Roman" w:hAnsi="Times New Roman"/>
          <w:sz w:val="24"/>
          <w:szCs w:val="24"/>
        </w:rPr>
        <w:t xml:space="preserve"> i doprinose na plaće </w:t>
      </w:r>
      <w:r w:rsidR="0000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 razloga što je došlo do promjene općinskog načelnika   na lokalnim izborima </w:t>
      </w:r>
      <w:r w:rsidR="00AC2F13">
        <w:rPr>
          <w:rFonts w:ascii="Times New Roman" w:hAnsi="Times New Roman"/>
          <w:sz w:val="24"/>
          <w:szCs w:val="24"/>
        </w:rPr>
        <w:t xml:space="preserve"> te je prethodnom općinskom načelniku isplaćivana plaća za 6 mjeseci sukladno Zakonskim propisima i zamjenica općinskog načelnika dužnost obnaša profesionalno.</w:t>
      </w:r>
    </w:p>
    <w:p w:rsidR="000003BF" w:rsidRDefault="008E637D" w:rsidP="00844D1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E637D">
        <w:rPr>
          <w:rFonts w:ascii="Times New Roman" w:hAnsi="Times New Roman"/>
          <w:b/>
          <w:sz w:val="24"/>
          <w:szCs w:val="24"/>
        </w:rPr>
        <w:t>- naknade troškova zaposlenima (AOP 161 )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37D">
        <w:rPr>
          <w:rFonts w:ascii="Times New Roman" w:hAnsi="Times New Roman"/>
          <w:sz w:val="24"/>
          <w:szCs w:val="24"/>
        </w:rPr>
        <w:t>i ostva</w:t>
      </w:r>
      <w:r>
        <w:rPr>
          <w:rFonts w:ascii="Times New Roman" w:hAnsi="Times New Roman"/>
          <w:sz w:val="24"/>
          <w:szCs w:val="24"/>
        </w:rPr>
        <w:t>reni su u iznosu od 25.281,14 kn što je za 72,6% više u odnosu na prethodnu godinu jer je bio znatno veći broj službenih putovanja i naknada za prijevoz na posao i s posla zbog 2 djelatnika kojima se financiraju ti troškovi.</w:t>
      </w:r>
    </w:p>
    <w:p w:rsidR="008E637D" w:rsidRPr="007478E0" w:rsidRDefault="007478E0" w:rsidP="004A283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intelektualne usluge (AOP 181 ) </w:t>
      </w:r>
      <w:r>
        <w:rPr>
          <w:rFonts w:ascii="Times New Roman" w:hAnsi="Times New Roman"/>
          <w:sz w:val="24"/>
          <w:szCs w:val="24"/>
        </w:rPr>
        <w:t xml:space="preserve">i ostvareni su u iznosu od 416.188,08 što je za 105,9% više u odnosu na prethodnu godinu </w:t>
      </w:r>
      <w:r w:rsidR="004A2830">
        <w:rPr>
          <w:rFonts w:ascii="Times New Roman" w:hAnsi="Times New Roman"/>
          <w:sz w:val="24"/>
          <w:szCs w:val="24"/>
        </w:rPr>
        <w:t xml:space="preserve"> a zbog većih odvjetničkih usluga.</w:t>
      </w:r>
    </w:p>
    <w:p w:rsidR="000F633E" w:rsidRDefault="004A2830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830">
        <w:rPr>
          <w:rFonts w:ascii="Times New Roman" w:hAnsi="Times New Roman"/>
          <w:b/>
          <w:sz w:val="24"/>
          <w:szCs w:val="24"/>
        </w:rPr>
        <w:t xml:space="preserve">-  ostali nespomenut i rashodi poslovanja (AOP 185 </w:t>
      </w:r>
      <w:r w:rsidRPr="000F633E">
        <w:rPr>
          <w:rFonts w:ascii="Times New Roman" w:hAnsi="Times New Roman"/>
          <w:sz w:val="24"/>
          <w:szCs w:val="24"/>
        </w:rPr>
        <w:t>)</w:t>
      </w:r>
      <w:r w:rsidR="000F633E" w:rsidRPr="000F633E">
        <w:rPr>
          <w:rFonts w:ascii="Times New Roman" w:hAnsi="Times New Roman"/>
          <w:sz w:val="24"/>
          <w:szCs w:val="24"/>
        </w:rPr>
        <w:t xml:space="preserve"> i ostvareni su u iznosu od 311,394,40 kn</w:t>
      </w:r>
      <w:r w:rsidR="000F633E">
        <w:rPr>
          <w:rFonts w:ascii="Times New Roman" w:hAnsi="Times New Roman"/>
          <w:sz w:val="24"/>
          <w:szCs w:val="24"/>
        </w:rPr>
        <w:t xml:space="preserve"> što je 139,2 % više u odnosu na 2016. godinu  a odnose se na:</w:t>
      </w:r>
    </w:p>
    <w:p w:rsidR="000F633E" w:rsidRDefault="000F633E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naknade za rad predstavničkih tijela u iznosu od 18.168,15 kn;</w:t>
      </w:r>
    </w:p>
    <w:p w:rsidR="000F633E" w:rsidRDefault="000F633E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premije osiguranja u iznosu od 65.339,21 kn;</w:t>
      </w:r>
    </w:p>
    <w:p w:rsidR="000F633E" w:rsidRDefault="000F633E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 reprezentaciju iznosu od 68.275,60 kn;</w:t>
      </w:r>
    </w:p>
    <w:p w:rsidR="000F633E" w:rsidRDefault="000F633E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tuzemne članarine u iznosu od 6.070,80 kn;</w:t>
      </w:r>
    </w:p>
    <w:p w:rsidR="00844D19" w:rsidRDefault="000F633E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 pristojbe i naknade u iznosu od 20.619,00 kn</w:t>
      </w:r>
      <w:r w:rsidR="00196AC7">
        <w:rPr>
          <w:rFonts w:ascii="Times New Roman" w:hAnsi="Times New Roman"/>
          <w:sz w:val="24"/>
          <w:szCs w:val="24"/>
        </w:rPr>
        <w:t>;</w:t>
      </w:r>
    </w:p>
    <w:p w:rsidR="000F633E" w:rsidRPr="000F633E" w:rsidRDefault="00196AC7" w:rsidP="004A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ostali nespomenuti rashodi ( rashodi protokola, izborna promidžba, natječaji, povrat pretplata fizičkih osoba) u iznosu od 132.921,68 kn.</w:t>
      </w:r>
    </w:p>
    <w:p w:rsidR="0050199C" w:rsidRDefault="0050199C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9C">
        <w:rPr>
          <w:rFonts w:ascii="Times New Roman" w:hAnsi="Times New Roman"/>
          <w:b/>
          <w:sz w:val="24"/>
          <w:szCs w:val="24"/>
        </w:rPr>
        <w:t xml:space="preserve">- ostali financijski rashodi (AOP 207 ) </w:t>
      </w:r>
      <w:r w:rsidRPr="0050199C">
        <w:rPr>
          <w:rFonts w:ascii="Times New Roman" w:hAnsi="Times New Roman"/>
          <w:sz w:val="24"/>
          <w:szCs w:val="24"/>
        </w:rPr>
        <w:t>i ostvareni su u iznosu od 16.033,93 kn</w:t>
      </w:r>
      <w:r>
        <w:rPr>
          <w:rFonts w:ascii="Times New Roman" w:hAnsi="Times New Roman"/>
          <w:sz w:val="24"/>
          <w:szCs w:val="24"/>
        </w:rPr>
        <w:t xml:space="preserve"> što je za </w:t>
      </w:r>
    </w:p>
    <w:p w:rsidR="0050199C" w:rsidRDefault="0050199C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20,04% više u odnosu na 2015. </w:t>
      </w:r>
      <w:r w:rsidR="00722FA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odini</w:t>
      </w:r>
      <w:r w:rsidR="00722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odnose se na:</w:t>
      </w:r>
    </w:p>
    <w:p w:rsidR="0050199C" w:rsidRDefault="0050199C" w:rsidP="0050199C">
      <w:pPr>
        <w:pStyle w:val="Odlomakpopis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bankarske usluge u iznosu od 16.001,57 kn;</w:t>
      </w:r>
    </w:p>
    <w:p w:rsidR="0050199C" w:rsidRDefault="0050199C" w:rsidP="0050199C">
      <w:pPr>
        <w:pStyle w:val="Odlomakpopis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zatezne kamate u iznosu od 32,36 kn.</w:t>
      </w:r>
    </w:p>
    <w:p w:rsidR="0050199C" w:rsidRDefault="00F61036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036">
        <w:rPr>
          <w:rFonts w:ascii="Times New Roman" w:hAnsi="Times New Roman"/>
          <w:b/>
          <w:sz w:val="24"/>
          <w:szCs w:val="24"/>
        </w:rPr>
        <w:t>- prijenosi proračunskim korisnicima iz nadležnog proračuna (AOP 234 )</w:t>
      </w:r>
      <w:r>
        <w:rPr>
          <w:rFonts w:ascii="Times New Roman" w:hAnsi="Times New Roman"/>
          <w:sz w:val="24"/>
          <w:szCs w:val="24"/>
        </w:rPr>
        <w:t xml:space="preserve"> i ostvareni su u iznosu od 523.967,50 kn a odnose se na financiranje Dječjeg vrtića </w:t>
      </w:r>
      <w:proofErr w:type="spellStart"/>
      <w:r>
        <w:rPr>
          <w:rFonts w:ascii="Times New Roman" w:hAnsi="Times New Roman"/>
          <w:sz w:val="24"/>
          <w:szCs w:val="24"/>
        </w:rPr>
        <w:t>Sabunić</w:t>
      </w:r>
      <w:proofErr w:type="spellEnd"/>
      <w:r>
        <w:rPr>
          <w:rFonts w:ascii="Times New Roman" w:hAnsi="Times New Roman"/>
          <w:sz w:val="24"/>
          <w:szCs w:val="24"/>
        </w:rPr>
        <w:t xml:space="preserve"> čiji je osnivač Općina Privlaka.  U Dječjem vrtiću uveden je cjelodnevni boravak djece to je uvjetovalo povećanje rashoda.</w:t>
      </w:r>
    </w:p>
    <w:p w:rsidR="00722FAD" w:rsidRDefault="00722FAD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AD">
        <w:rPr>
          <w:rFonts w:ascii="Times New Roman" w:hAnsi="Times New Roman"/>
          <w:b/>
          <w:sz w:val="24"/>
          <w:szCs w:val="24"/>
        </w:rPr>
        <w:t>- naknade građanima i kućanstvima u novcu (AOP 254)</w:t>
      </w:r>
      <w:r>
        <w:rPr>
          <w:rFonts w:ascii="Times New Roman" w:hAnsi="Times New Roman"/>
          <w:sz w:val="24"/>
          <w:szCs w:val="24"/>
        </w:rPr>
        <w:t xml:space="preserve"> i ostvareni su u iznosi od 235. Što je za 12,8% više u odnosu na 2016. godinu, a odnose se na:</w:t>
      </w:r>
    </w:p>
    <w:p w:rsidR="00722FAD" w:rsidRDefault="00722FAD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06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06114">
        <w:rPr>
          <w:rFonts w:ascii="Times New Roman" w:hAnsi="Times New Roman"/>
          <w:sz w:val="24"/>
          <w:szCs w:val="24"/>
        </w:rPr>
        <w:t>pomoći ugroženim obiteljima u iznosu od 117.105,00 kn;</w:t>
      </w:r>
    </w:p>
    <w:p w:rsidR="00D06114" w:rsidRDefault="00D06114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prijevoz učenika srednjih škola u iznosu od 43.477,50 kn;</w:t>
      </w:r>
    </w:p>
    <w:p w:rsidR="00D06114" w:rsidRDefault="00D06114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naknada za novorođeno dijete u iznosu od 69.000,00 kn;</w:t>
      </w:r>
    </w:p>
    <w:p w:rsidR="00D06114" w:rsidRDefault="00D06114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naknada talentiranim sportašima u iznosu od 6.000,00 kn.</w:t>
      </w:r>
    </w:p>
    <w:p w:rsidR="00F61036" w:rsidRDefault="00F61036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036">
        <w:rPr>
          <w:rFonts w:ascii="Times New Roman" w:hAnsi="Times New Roman"/>
          <w:b/>
          <w:sz w:val="24"/>
          <w:szCs w:val="24"/>
        </w:rPr>
        <w:t>-ostali rashodi (AOP 257 )</w:t>
      </w:r>
      <w:r>
        <w:rPr>
          <w:rFonts w:ascii="Times New Roman" w:hAnsi="Times New Roman"/>
          <w:sz w:val="24"/>
          <w:szCs w:val="24"/>
        </w:rPr>
        <w:t xml:space="preserve"> i ostvareni su u iznosu od 984.899,44 kn što je za 16,9 % više u odnosu na 2016. </w:t>
      </w:r>
      <w:r w:rsidR="00722FA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722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odnose se na:</w:t>
      </w:r>
    </w:p>
    <w:p w:rsidR="00F61036" w:rsidRDefault="00F61036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tekuće donacije udrugama u kulturi u iznosu od 90.000,00 kn;</w:t>
      </w:r>
    </w:p>
    <w:p w:rsidR="00F61036" w:rsidRDefault="00F61036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javne potrebe u  športu u iznosu od 392.009,80 kn;</w:t>
      </w:r>
    </w:p>
    <w:p w:rsidR="00F61036" w:rsidRDefault="00F61036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vjerske zajednice u iznosu od 20.000,00 kn;</w:t>
      </w:r>
    </w:p>
    <w:p w:rsidR="006416AA" w:rsidRDefault="0096609D" w:rsidP="006416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6416AA">
        <w:rPr>
          <w:rFonts w:ascii="Times New Roman" w:hAnsi="Times New Roman"/>
          <w:sz w:val="24"/>
          <w:szCs w:val="24"/>
        </w:rPr>
        <w:t xml:space="preserve">službe javnog zdravstva u iznosu od 43.321, 01 kn; </w:t>
      </w:r>
    </w:p>
    <w:p w:rsidR="0096609D" w:rsidRDefault="0096609D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javne usluge (</w:t>
      </w:r>
      <w:r w:rsidR="0077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protupožarna</w:t>
      </w:r>
      <w:r w:rsidR="0077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zaštita</w:t>
      </w:r>
      <w:r w:rsidR="006416A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u iznosu od 2</w:t>
      </w:r>
      <w:r w:rsidR="006416A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.000,00 kn;</w:t>
      </w:r>
    </w:p>
    <w:p w:rsidR="00AE090B" w:rsidRDefault="00AE090B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tekuće donacije političkim strankama u iznosu od 20.000,00 kn;</w:t>
      </w:r>
    </w:p>
    <w:p w:rsidR="00AE090B" w:rsidRDefault="00AE090B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tekuća donacija TZ Općine Privlaka u iznosu od 105.418,63 kn;</w:t>
      </w:r>
    </w:p>
    <w:p w:rsidR="007772ED" w:rsidRDefault="006416AA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AE090B">
        <w:rPr>
          <w:rFonts w:ascii="Times New Roman" w:hAnsi="Times New Roman"/>
          <w:sz w:val="24"/>
          <w:szCs w:val="24"/>
        </w:rPr>
        <w:t>tekuće donacije građanima u iznosu od 15.000,00 kn;</w:t>
      </w:r>
    </w:p>
    <w:p w:rsidR="006416AA" w:rsidRDefault="000879CB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ostale udruge  u iznosu od 19.150,00 kn;</w:t>
      </w:r>
    </w:p>
    <w:p w:rsidR="007772ED" w:rsidRDefault="000879CB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</w:t>
      </w:r>
      <w:r w:rsidR="007772ED">
        <w:rPr>
          <w:rFonts w:ascii="Times New Roman" w:hAnsi="Times New Roman"/>
          <w:sz w:val="24"/>
          <w:szCs w:val="24"/>
        </w:rPr>
        <w:t>kapitalna donacija građanima u iznosu od 30.000,00 kn.</w:t>
      </w:r>
    </w:p>
    <w:p w:rsidR="00EB02E1" w:rsidRPr="0050199C" w:rsidRDefault="0050199C" w:rsidP="00501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9C">
        <w:rPr>
          <w:rFonts w:ascii="Times New Roman" w:hAnsi="Times New Roman"/>
          <w:sz w:val="24"/>
          <w:szCs w:val="24"/>
        </w:rPr>
        <w:t xml:space="preserve"> </w:t>
      </w:r>
    </w:p>
    <w:p w:rsidR="00EB02E1" w:rsidRPr="002F369D" w:rsidRDefault="00EB02E1" w:rsidP="000E14AE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  <w:u w:val="single"/>
        </w:rPr>
      </w:pPr>
      <w:r w:rsidRPr="002F369D">
        <w:rPr>
          <w:rFonts w:ascii="Times New Roman" w:hAnsi="Times New Roman"/>
          <w:b/>
          <w:i/>
          <w:sz w:val="32"/>
          <w:szCs w:val="32"/>
          <w:u w:val="single"/>
        </w:rPr>
        <w:t>B</w:t>
      </w:r>
      <w:r w:rsidR="000E14AE" w:rsidRPr="002F369D">
        <w:rPr>
          <w:rFonts w:ascii="Times New Roman" w:hAnsi="Times New Roman"/>
          <w:b/>
          <w:i/>
          <w:sz w:val="32"/>
          <w:szCs w:val="32"/>
          <w:u w:val="single"/>
        </w:rPr>
        <w:t>ilješke uz bilancu (BIL)</w:t>
      </w:r>
    </w:p>
    <w:p w:rsidR="000E14AE" w:rsidRPr="00417582" w:rsidRDefault="000E14AE" w:rsidP="000E14AE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17582" w:rsidRDefault="00417582" w:rsidP="00417582">
      <w:pPr>
        <w:pStyle w:val="Odlomakpopisa"/>
        <w:numPr>
          <w:ilvl w:val="0"/>
          <w:numId w:val="10"/>
        </w:num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 : Dani zajmovi i primljene otplate</w:t>
      </w:r>
    </w:p>
    <w:p w:rsidR="00F1597E" w:rsidRPr="00F1597E" w:rsidRDefault="00F1597E" w:rsidP="00F1597E">
      <w:pPr>
        <w:suppressAutoHyphens w:val="0"/>
        <w:autoSpaceDN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17582" w:rsidRDefault="00F1597E" w:rsidP="00417582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Dani zajmovi odnose se na studentske kredite. Stanje zajmova na dan 01. siječnja 2017.g.  je iznosilo 324.500,00 kn,  u 2017. godini isplaćeno je  92.000,00 kn,  te stanje zajmova na dan 31. prosinca 2017.g. iznosi 416.500,00 kn.</w:t>
      </w:r>
    </w:p>
    <w:p w:rsidR="00F1597E" w:rsidRDefault="00F1597E" w:rsidP="00417582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Tijekom 2017. godine nije bilo obveze povrata zajmova. </w:t>
      </w:r>
    </w:p>
    <w:p w:rsidR="00F1597E" w:rsidRDefault="00F1597E" w:rsidP="00417582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597E" w:rsidRDefault="00F1597E" w:rsidP="00F1597E">
      <w:pPr>
        <w:pStyle w:val="Odlomakpopisa"/>
        <w:numPr>
          <w:ilvl w:val="0"/>
          <w:numId w:val="10"/>
        </w:num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Tablica: Primljeni krediti i zajmovi te otplate</w:t>
      </w:r>
    </w:p>
    <w:p w:rsidR="00EE1EC5" w:rsidRPr="00EE1EC5" w:rsidRDefault="00EE1EC5" w:rsidP="00EE1EC5">
      <w:pPr>
        <w:suppressAutoHyphens w:val="0"/>
        <w:autoSpaceDN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Default="00EE1EC5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E1EC5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Privlaka na dan  01.siječnaj 2017. godine nema primljenih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kredita i zajmova.</w:t>
      </w:r>
      <w:r w:rsidRPr="00EE1EC5">
        <w:rPr>
          <w:rFonts w:ascii="Times New Roman" w:eastAsia="Times New Roman" w:hAnsi="Times New Roman"/>
          <w:sz w:val="24"/>
          <w:szCs w:val="24"/>
          <w:lang w:eastAsia="hr-HR"/>
        </w:rPr>
        <w:t xml:space="preserve">  U  2017. godini  također nema primljenih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kredita i zajmova.</w:t>
      </w:r>
    </w:p>
    <w:p w:rsidR="000F1266" w:rsidRDefault="000F1266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F1266" w:rsidRDefault="000F1266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F1266" w:rsidRDefault="000F1266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F1266" w:rsidRDefault="000F1266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Pr="00EE1EC5" w:rsidRDefault="00EE1EC5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597E" w:rsidRDefault="00F1597E" w:rsidP="00F1597E">
      <w:pPr>
        <w:pStyle w:val="Odlomakpopisa"/>
        <w:numPr>
          <w:ilvl w:val="0"/>
          <w:numId w:val="10"/>
        </w:num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Tablica: Primljeni robni zajmovi i financijski najmovi</w:t>
      </w:r>
    </w:p>
    <w:p w:rsidR="00F1597E" w:rsidRPr="00F1597E" w:rsidRDefault="00F1597E" w:rsidP="00F1597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1597E" w:rsidRDefault="00F1597E" w:rsidP="00F1597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Privlaka na dan  01.siječnaj 2017. godine nema primljenih robnih zajmova i financijskih najmova.  </w:t>
      </w:r>
      <w:r w:rsidR="00EE1EC5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2017. </w:t>
      </w:r>
      <w:r w:rsidR="00EE1EC5"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odini </w:t>
      </w:r>
      <w:r w:rsidR="00EE1EC5">
        <w:rPr>
          <w:rFonts w:ascii="Times New Roman" w:eastAsia="Times New Roman" w:hAnsi="Times New Roman"/>
          <w:sz w:val="24"/>
          <w:szCs w:val="24"/>
          <w:lang w:eastAsia="hr-HR"/>
        </w:rPr>
        <w:t xml:space="preserve"> također nema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primljenih robnih zajmova i financijskih najmova </w:t>
      </w:r>
      <w:r w:rsidR="00EE1EC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EE1EC5" w:rsidRDefault="00EE1EC5" w:rsidP="00F1597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Default="00EE1EC5" w:rsidP="00F1597E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Default="00EE1EC5" w:rsidP="00EE1EC5">
      <w:pPr>
        <w:pStyle w:val="Odlomakpopisa"/>
        <w:numPr>
          <w:ilvl w:val="0"/>
          <w:numId w:val="10"/>
        </w:num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Tablica: Dospjele kamate na kredite</w:t>
      </w:r>
      <w:r w:rsidR="00933007">
        <w:rPr>
          <w:rFonts w:ascii="Times New Roman" w:eastAsia="Times New Roman" w:hAnsi="Times New Roman"/>
          <w:sz w:val="24"/>
          <w:szCs w:val="24"/>
          <w:lang w:eastAsia="hr-HR"/>
        </w:rPr>
        <w:t xml:space="preserve"> i zajmove.</w:t>
      </w:r>
    </w:p>
    <w:p w:rsidR="00933007" w:rsidRDefault="00933007" w:rsidP="00933007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Default="00933007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Privlaka nema dospjelih kamata na studentske kredite.</w:t>
      </w:r>
    </w:p>
    <w:p w:rsidR="00933007" w:rsidRDefault="00933007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E1EC5" w:rsidRPr="00EE1EC5" w:rsidRDefault="00EE1EC5" w:rsidP="00EE1EC5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17582" w:rsidRDefault="00417582" w:rsidP="00417582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Privlaka  na dan 31.prosinca 2017.g. u  evidenciji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izvanbilančnih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zapisa  ima 53 sudska predmeta koja  su u tijeku ,a  mogu postati  obveza ili imovina Općine Privlaka.</w:t>
      </w:r>
    </w:p>
    <w:p w:rsidR="00417582" w:rsidRDefault="00417582" w:rsidP="00417582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0E14AE" w:rsidRDefault="000E14AE" w:rsidP="00417582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Pr="002F369D" w:rsidRDefault="00EB02E1" w:rsidP="002F369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F369D">
        <w:rPr>
          <w:rFonts w:ascii="Times New Roman" w:hAnsi="Times New Roman"/>
          <w:b/>
          <w:i/>
          <w:sz w:val="28"/>
          <w:szCs w:val="28"/>
          <w:u w:val="single"/>
        </w:rPr>
        <w:t>B</w:t>
      </w:r>
      <w:r w:rsidR="002F369D" w:rsidRPr="002F369D">
        <w:rPr>
          <w:rFonts w:ascii="Times New Roman" w:hAnsi="Times New Roman"/>
          <w:b/>
          <w:i/>
          <w:sz w:val="28"/>
          <w:szCs w:val="28"/>
          <w:u w:val="single"/>
        </w:rPr>
        <w:t xml:space="preserve">ilješke uz obrazac </w:t>
      </w:r>
      <w:r w:rsidRPr="002F369D">
        <w:rPr>
          <w:rFonts w:ascii="Times New Roman" w:hAnsi="Times New Roman"/>
          <w:b/>
          <w:i/>
          <w:sz w:val="28"/>
          <w:szCs w:val="28"/>
          <w:u w:val="single"/>
        </w:rPr>
        <w:t xml:space="preserve"> „OBVEZE“</w:t>
      </w:r>
    </w:p>
    <w:p w:rsidR="002F369D" w:rsidRDefault="002F369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69D" w:rsidRDefault="002F369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0C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obveza </w:t>
      </w:r>
      <w:r w:rsidR="00C9640C">
        <w:rPr>
          <w:rFonts w:ascii="Times New Roman" w:hAnsi="Times New Roman"/>
          <w:sz w:val="24"/>
          <w:szCs w:val="24"/>
        </w:rPr>
        <w:t xml:space="preserve">na dan 31. prosinca 2017.g. </w:t>
      </w:r>
      <w:r>
        <w:rPr>
          <w:rFonts w:ascii="Times New Roman" w:hAnsi="Times New Roman"/>
          <w:sz w:val="24"/>
          <w:szCs w:val="24"/>
        </w:rPr>
        <w:t xml:space="preserve"> </w:t>
      </w:r>
      <w:r w:rsidR="00C9640C">
        <w:rPr>
          <w:rFonts w:ascii="Times New Roman" w:hAnsi="Times New Roman"/>
          <w:sz w:val="24"/>
          <w:szCs w:val="24"/>
        </w:rPr>
        <w:t>iznosi 1.3</w:t>
      </w:r>
      <w:r w:rsidR="003663CC">
        <w:rPr>
          <w:rFonts w:ascii="Times New Roman" w:hAnsi="Times New Roman"/>
          <w:sz w:val="24"/>
          <w:szCs w:val="24"/>
        </w:rPr>
        <w:t>59.052,98</w:t>
      </w:r>
      <w:r w:rsidR="00C9640C">
        <w:rPr>
          <w:rFonts w:ascii="Times New Roman" w:hAnsi="Times New Roman"/>
          <w:sz w:val="24"/>
          <w:szCs w:val="24"/>
        </w:rPr>
        <w:t xml:space="preserve"> kn.</w:t>
      </w:r>
    </w:p>
    <w:p w:rsidR="00C9640C" w:rsidRDefault="00C9640C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Dospjele obveze iznose  9.510,00 kn, a nedospjele 1.34</w:t>
      </w:r>
      <w:r w:rsidR="003663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3663CC">
        <w:rPr>
          <w:rFonts w:ascii="Times New Roman" w:hAnsi="Times New Roman"/>
          <w:sz w:val="24"/>
          <w:szCs w:val="24"/>
        </w:rPr>
        <w:t>542</w:t>
      </w:r>
      <w:r>
        <w:rPr>
          <w:rFonts w:ascii="Times New Roman" w:hAnsi="Times New Roman"/>
          <w:sz w:val="24"/>
          <w:szCs w:val="24"/>
        </w:rPr>
        <w:t xml:space="preserve">,98 kn  </w:t>
      </w:r>
    </w:p>
    <w:p w:rsidR="00481F8D" w:rsidRDefault="00481F8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8D" w:rsidRDefault="00C9640C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40C">
        <w:rPr>
          <w:rFonts w:ascii="Times New Roman" w:hAnsi="Times New Roman"/>
          <w:sz w:val="24"/>
          <w:szCs w:val="24"/>
        </w:rPr>
        <w:t>Stanje dospjelih obveza odnosi se na</w:t>
      </w:r>
      <w:r w:rsidR="00481F8D">
        <w:rPr>
          <w:rFonts w:ascii="Times New Roman" w:hAnsi="Times New Roman"/>
          <w:sz w:val="24"/>
          <w:szCs w:val="24"/>
        </w:rPr>
        <w:t xml:space="preserve">: </w:t>
      </w:r>
    </w:p>
    <w:p w:rsidR="00481F8D" w:rsidRPr="00481F8D" w:rsidRDefault="00C9640C" w:rsidP="00481F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1F8D">
        <w:rPr>
          <w:rFonts w:ascii="Times New Roman" w:hAnsi="Times New Roman" w:cs="Times New Roman"/>
          <w:sz w:val="24"/>
          <w:szCs w:val="24"/>
        </w:rPr>
        <w:t xml:space="preserve"> </w:t>
      </w:r>
      <w:r w:rsidR="00481F8D" w:rsidRPr="00481F8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81F8D" w:rsidRPr="00481F8D">
        <w:rPr>
          <w:rFonts w:ascii="Times New Roman" w:hAnsi="Times New Roman" w:cs="Times New Roman"/>
          <w:sz w:val="24"/>
          <w:szCs w:val="24"/>
        </w:rPr>
        <w:t>- 24511 Dodatna ulaganja</w:t>
      </w:r>
      <w:r w:rsidR="00481F8D" w:rsidRPr="00481F8D">
        <w:rPr>
          <w:rFonts w:ascii="Times New Roman" w:hAnsi="Times New Roman" w:cs="Times New Roman"/>
          <w:sz w:val="24"/>
          <w:szCs w:val="24"/>
        </w:rPr>
        <w:tab/>
        <w:t xml:space="preserve">    9.510,00 kn</w:t>
      </w:r>
    </w:p>
    <w:p w:rsidR="00481F8D" w:rsidRPr="00481F8D" w:rsidRDefault="00481F8D" w:rsidP="00481F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1F8D">
        <w:rPr>
          <w:rFonts w:ascii="Times New Roman" w:hAnsi="Times New Roman" w:cs="Times New Roman"/>
          <w:sz w:val="24"/>
          <w:szCs w:val="24"/>
        </w:rPr>
        <w:t>a) Purpur 3.750,00 kn</w:t>
      </w:r>
    </w:p>
    <w:p w:rsidR="00481F8D" w:rsidRPr="00481F8D" w:rsidRDefault="00481F8D" w:rsidP="00481F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1F8D">
        <w:rPr>
          <w:rFonts w:ascii="Times New Roman" w:hAnsi="Times New Roman" w:cs="Times New Roman"/>
          <w:sz w:val="24"/>
          <w:szCs w:val="24"/>
        </w:rPr>
        <w:t>b)  Stipčević 5.760,00 kn)</w:t>
      </w:r>
    </w:p>
    <w:p w:rsidR="00EB02E1" w:rsidRPr="00C9640C" w:rsidRDefault="00EB02E1" w:rsidP="00481F8D">
      <w:pPr>
        <w:pStyle w:val="Bezproreda"/>
      </w:pPr>
      <w:r w:rsidRPr="00C9640C">
        <w:t xml:space="preserve"> 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nedospjelih obveza odnosi se na: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-obvezu za plaće 12/1</w:t>
      </w:r>
      <w:r w:rsidR="00481F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81F8D">
        <w:rPr>
          <w:rFonts w:ascii="Times New Roman" w:hAnsi="Times New Roman"/>
          <w:sz w:val="24"/>
          <w:szCs w:val="24"/>
        </w:rPr>
        <w:t xml:space="preserve">104.737,52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481F8D" w:rsidRDefault="00481F8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obveze za plaće HZZ  12/17     33.275,58 kn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naknadu za uređenje voda (obveza za Hrvatske vode)</w:t>
      </w:r>
      <w:r w:rsidR="00481F8D">
        <w:rPr>
          <w:rFonts w:ascii="Times New Roman" w:hAnsi="Times New Roman"/>
          <w:sz w:val="24"/>
          <w:szCs w:val="24"/>
        </w:rPr>
        <w:t xml:space="preserve">  984.935,40 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nedospjele obveze prema dobavljačima </w:t>
      </w:r>
      <w:r w:rsidR="00481F8D">
        <w:rPr>
          <w:rFonts w:ascii="Times New Roman" w:hAnsi="Times New Roman"/>
          <w:sz w:val="24"/>
          <w:szCs w:val="24"/>
        </w:rPr>
        <w:t xml:space="preserve"> za materijalne rashode  2</w:t>
      </w:r>
      <w:r w:rsidR="003663CC">
        <w:rPr>
          <w:rFonts w:ascii="Times New Roman" w:hAnsi="Times New Roman"/>
          <w:sz w:val="24"/>
          <w:szCs w:val="24"/>
        </w:rPr>
        <w:t>18.234,52</w:t>
      </w:r>
      <w:r w:rsidR="00481F8D">
        <w:rPr>
          <w:rFonts w:ascii="Times New Roman" w:hAnsi="Times New Roman"/>
          <w:sz w:val="24"/>
          <w:szCs w:val="24"/>
        </w:rPr>
        <w:t xml:space="preserve"> kn </w:t>
      </w:r>
    </w:p>
    <w:p w:rsidR="00481F8D" w:rsidRDefault="00481F8D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obveze za više uplaćene naknade i poreze  8.359,96 kn</w:t>
      </w:r>
      <w:r w:rsidR="00722FAD">
        <w:rPr>
          <w:rFonts w:ascii="Times New Roman" w:hAnsi="Times New Roman"/>
          <w:sz w:val="24"/>
          <w:szCs w:val="24"/>
        </w:rPr>
        <w:t>.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P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1266" w:rsidRPr="000F1266" w:rsidRDefault="000F1266" w:rsidP="000F1266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0F126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 </w:t>
      </w:r>
      <w:r w:rsidRPr="000F1266">
        <w:rPr>
          <w:rFonts w:ascii="Times New Roman" w:hAnsi="Times New Roman"/>
          <w:b/>
          <w:i/>
          <w:sz w:val="32"/>
          <w:szCs w:val="32"/>
          <w:u w:val="single"/>
        </w:rPr>
        <w:t>Bilješke uz Izvještaj o vlasničkim udjelima/neto imovini</w:t>
      </w:r>
    </w:p>
    <w:p w:rsidR="000F1266" w:rsidRPr="000F1266" w:rsidRDefault="000F1266" w:rsidP="000F126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OBRAZAC UDJ</w:t>
      </w:r>
    </w:p>
    <w:p w:rsidR="000F1266" w:rsidRPr="000F1266" w:rsidRDefault="000F1266" w:rsidP="000F12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1266">
        <w:rPr>
          <w:rFonts w:ascii="Times New Roman" w:hAnsi="Times New Roman" w:cs="Times New Roman"/>
          <w:sz w:val="24"/>
          <w:szCs w:val="24"/>
        </w:rPr>
        <w:t xml:space="preserve">Općina Privlaka  na dan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2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F1266">
        <w:rPr>
          <w:rFonts w:ascii="Times New Roman" w:hAnsi="Times New Roman" w:cs="Times New Roman"/>
          <w:sz w:val="24"/>
          <w:szCs w:val="24"/>
        </w:rPr>
        <w:t xml:space="preserve">.2017. godine ima </w:t>
      </w:r>
      <w:r>
        <w:rPr>
          <w:rFonts w:ascii="Times New Roman" w:hAnsi="Times New Roman" w:cs="Times New Roman"/>
          <w:sz w:val="24"/>
          <w:szCs w:val="24"/>
        </w:rPr>
        <w:t>100 % ud</w:t>
      </w:r>
      <w:r w:rsidRPr="000F1266">
        <w:rPr>
          <w:rFonts w:ascii="Times New Roman" w:hAnsi="Times New Roman" w:cs="Times New Roman"/>
          <w:sz w:val="24"/>
          <w:szCs w:val="24"/>
        </w:rPr>
        <w:t>jel</w:t>
      </w:r>
      <w:r>
        <w:rPr>
          <w:rFonts w:ascii="Times New Roman" w:hAnsi="Times New Roman" w:cs="Times New Roman"/>
          <w:sz w:val="24"/>
          <w:szCs w:val="24"/>
        </w:rPr>
        <w:t xml:space="preserve">a u Općinskom komunalnom društvu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i udjel  iznosu od 500.000,00 kn.</w:t>
      </w:r>
      <w:r w:rsidRPr="000F1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Tijekom 2017. godine nije bilo dodatnih ulaganja te udjel  na dan 31. prosinca 2017. godine iznosi 500.000,00 kn.</w:t>
      </w:r>
      <w:r w:rsidR="007C5FB3">
        <w:rPr>
          <w:rFonts w:ascii="Times New Roman" w:hAnsi="Times New Roman" w:cs="Times New Roman"/>
          <w:sz w:val="24"/>
          <w:szCs w:val="24"/>
        </w:rPr>
        <w:t xml:space="preserve"> Proračunski korisnik Općine Privlaka je Dječji vrtić Sabunić.</w:t>
      </w:r>
      <w:bookmarkStart w:id="0" w:name="_GoBack"/>
      <w:bookmarkEnd w:id="0"/>
    </w:p>
    <w:p w:rsidR="000F1266" w:rsidRPr="000F1266" w:rsidRDefault="000F1266" w:rsidP="000F12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F1266" w:rsidRPr="000F1266" w:rsidRDefault="000F1266" w:rsidP="000F1266">
      <w:pPr>
        <w:rPr>
          <w:rFonts w:ascii="Times New Roman" w:hAnsi="Times New Roman"/>
          <w:sz w:val="28"/>
          <w:szCs w:val="28"/>
        </w:rPr>
      </w:pPr>
    </w:p>
    <w:p w:rsidR="000F1266" w:rsidRDefault="000F1266" w:rsidP="000F1266">
      <w:pPr>
        <w:ind w:left="720"/>
        <w:rPr>
          <w:b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Osoba za kontaktiranje: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/>
          <w:sz w:val="24"/>
          <w:szCs w:val="24"/>
        </w:rPr>
        <w:t>Bokara</w:t>
      </w:r>
      <w:proofErr w:type="spellEnd"/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Zakonski predstavnik:</w:t>
      </w:r>
    </w:p>
    <w:p w:rsidR="00EB02E1" w:rsidRDefault="00EB02E1" w:rsidP="00EB0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32B0">
        <w:rPr>
          <w:rFonts w:ascii="Times New Roman" w:hAnsi="Times New Roman"/>
          <w:sz w:val="24"/>
          <w:szCs w:val="24"/>
        </w:rPr>
        <w:t>Gašpar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dipl. </w:t>
      </w:r>
      <w:r w:rsidR="008832B0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>.</w:t>
      </w:r>
    </w:p>
    <w:p w:rsidR="00EB02E1" w:rsidRDefault="00EB02E1" w:rsidP="00EB02E1"/>
    <w:p w:rsidR="00EB02E1" w:rsidRDefault="00EB02E1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15. veljače 201</w:t>
      </w:r>
      <w:r w:rsidR="008832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330581" w:rsidRPr="00EB02E1" w:rsidRDefault="00330581" w:rsidP="00EB02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330581" w:rsidRPr="00EB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B"/>
    <w:multiLevelType w:val="hybridMultilevel"/>
    <w:tmpl w:val="A5762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6D4A"/>
    <w:multiLevelType w:val="hybridMultilevel"/>
    <w:tmpl w:val="BCE4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D00"/>
    <w:multiLevelType w:val="hybridMultilevel"/>
    <w:tmpl w:val="10D6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-3380" w:hanging="360"/>
      </w:pPr>
    </w:lvl>
    <w:lvl w:ilvl="2" w:tplc="041A001B">
      <w:start w:val="1"/>
      <w:numFmt w:val="lowerRoman"/>
      <w:lvlText w:val="%3."/>
      <w:lvlJc w:val="right"/>
      <w:pPr>
        <w:ind w:left="-2660" w:hanging="180"/>
      </w:pPr>
    </w:lvl>
    <w:lvl w:ilvl="3" w:tplc="041A000F">
      <w:start w:val="1"/>
      <w:numFmt w:val="decimal"/>
      <w:lvlText w:val="%4."/>
      <w:lvlJc w:val="left"/>
      <w:pPr>
        <w:ind w:left="-1940" w:hanging="360"/>
      </w:pPr>
    </w:lvl>
    <w:lvl w:ilvl="4" w:tplc="041A0019">
      <w:start w:val="1"/>
      <w:numFmt w:val="lowerLetter"/>
      <w:lvlText w:val="%5."/>
      <w:lvlJc w:val="left"/>
      <w:pPr>
        <w:ind w:left="-1220" w:hanging="360"/>
      </w:pPr>
    </w:lvl>
    <w:lvl w:ilvl="5" w:tplc="041A001B">
      <w:start w:val="1"/>
      <w:numFmt w:val="lowerRoman"/>
      <w:lvlText w:val="%6."/>
      <w:lvlJc w:val="right"/>
      <w:pPr>
        <w:ind w:left="-500" w:hanging="180"/>
      </w:pPr>
    </w:lvl>
    <w:lvl w:ilvl="6" w:tplc="041A000F">
      <w:start w:val="1"/>
      <w:numFmt w:val="decimal"/>
      <w:lvlText w:val="%7."/>
      <w:lvlJc w:val="left"/>
      <w:pPr>
        <w:ind w:left="220" w:hanging="360"/>
      </w:pPr>
    </w:lvl>
    <w:lvl w:ilvl="7" w:tplc="041A0019">
      <w:start w:val="1"/>
      <w:numFmt w:val="lowerLetter"/>
      <w:lvlText w:val="%8."/>
      <w:lvlJc w:val="left"/>
      <w:pPr>
        <w:ind w:left="940" w:hanging="360"/>
      </w:pPr>
    </w:lvl>
    <w:lvl w:ilvl="8" w:tplc="041A001B">
      <w:start w:val="1"/>
      <w:numFmt w:val="lowerRoman"/>
      <w:lvlText w:val="%9."/>
      <w:lvlJc w:val="right"/>
      <w:pPr>
        <w:ind w:left="1660" w:hanging="180"/>
      </w:pPr>
    </w:lvl>
  </w:abstractNum>
  <w:abstractNum w:abstractNumId="5">
    <w:nsid w:val="46CC4C14"/>
    <w:multiLevelType w:val="hybridMultilevel"/>
    <w:tmpl w:val="CADA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69CA"/>
    <w:multiLevelType w:val="hybridMultilevel"/>
    <w:tmpl w:val="5A62B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36EDD"/>
    <w:multiLevelType w:val="hybridMultilevel"/>
    <w:tmpl w:val="68E466D2"/>
    <w:lvl w:ilvl="0" w:tplc="E63E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D1515"/>
    <w:multiLevelType w:val="hybridMultilevel"/>
    <w:tmpl w:val="AFA01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A1332"/>
    <w:multiLevelType w:val="hybridMultilevel"/>
    <w:tmpl w:val="18C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1"/>
    <w:rsid w:val="000003BF"/>
    <w:rsid w:val="000542DD"/>
    <w:rsid w:val="000879CB"/>
    <w:rsid w:val="000E14AE"/>
    <w:rsid w:val="000F1266"/>
    <w:rsid w:val="000F633E"/>
    <w:rsid w:val="00196AC7"/>
    <w:rsid w:val="002F369D"/>
    <w:rsid w:val="00330581"/>
    <w:rsid w:val="003663CC"/>
    <w:rsid w:val="00417582"/>
    <w:rsid w:val="00473FBF"/>
    <w:rsid w:val="00481F8D"/>
    <w:rsid w:val="0048615F"/>
    <w:rsid w:val="004A2830"/>
    <w:rsid w:val="0050199C"/>
    <w:rsid w:val="005304D3"/>
    <w:rsid w:val="005875B7"/>
    <w:rsid w:val="006416AA"/>
    <w:rsid w:val="00667DE0"/>
    <w:rsid w:val="00722FAD"/>
    <w:rsid w:val="007478E0"/>
    <w:rsid w:val="007772ED"/>
    <w:rsid w:val="007C5FB3"/>
    <w:rsid w:val="007F5494"/>
    <w:rsid w:val="00844D19"/>
    <w:rsid w:val="008832B0"/>
    <w:rsid w:val="00895744"/>
    <w:rsid w:val="008E637D"/>
    <w:rsid w:val="00933007"/>
    <w:rsid w:val="0096609D"/>
    <w:rsid w:val="009D6E9B"/>
    <w:rsid w:val="00A90041"/>
    <w:rsid w:val="00AA3123"/>
    <w:rsid w:val="00AC2F13"/>
    <w:rsid w:val="00AD7609"/>
    <w:rsid w:val="00AE090B"/>
    <w:rsid w:val="00C9640C"/>
    <w:rsid w:val="00D06114"/>
    <w:rsid w:val="00D154F1"/>
    <w:rsid w:val="00D55B09"/>
    <w:rsid w:val="00DF60CC"/>
    <w:rsid w:val="00E66138"/>
    <w:rsid w:val="00EB02E1"/>
    <w:rsid w:val="00EE1EC5"/>
    <w:rsid w:val="00F1597E"/>
    <w:rsid w:val="00F61036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E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E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14</cp:revision>
  <dcterms:created xsi:type="dcterms:W3CDTF">2018-02-05T12:20:00Z</dcterms:created>
  <dcterms:modified xsi:type="dcterms:W3CDTF">2018-02-12T09:01:00Z</dcterms:modified>
</cp:coreProperties>
</file>