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C" w:rsidRPr="003B6C2C" w:rsidRDefault="003B6C2C" w:rsidP="003B6C2C">
      <w:pPr>
        <w:ind w:left="360"/>
        <w:jc w:val="center"/>
        <w:rPr>
          <w:b/>
          <w:sz w:val="28"/>
          <w:szCs w:val="28"/>
        </w:rPr>
      </w:pPr>
      <w:r w:rsidRPr="003B6C2C">
        <w:rPr>
          <w:b/>
          <w:sz w:val="28"/>
          <w:szCs w:val="28"/>
        </w:rPr>
        <w:t>REPUBLIKA HRVATSKA</w:t>
      </w:r>
    </w:p>
    <w:p w:rsidR="003B6C2C" w:rsidRPr="003B6C2C" w:rsidRDefault="003B6C2C" w:rsidP="003B6C2C">
      <w:pPr>
        <w:ind w:left="360"/>
        <w:jc w:val="center"/>
        <w:rPr>
          <w:b/>
          <w:sz w:val="28"/>
          <w:szCs w:val="28"/>
        </w:rPr>
      </w:pPr>
      <w:r w:rsidRPr="003B6C2C">
        <w:rPr>
          <w:b/>
          <w:sz w:val="28"/>
          <w:szCs w:val="28"/>
        </w:rPr>
        <w:t>OPĆINA PRIVLAKA</w:t>
      </w:r>
    </w:p>
    <w:p w:rsidR="003B6C2C" w:rsidRPr="003B6C2C" w:rsidRDefault="003B6C2C" w:rsidP="003B6C2C">
      <w:pPr>
        <w:ind w:left="360"/>
        <w:jc w:val="center"/>
        <w:rPr>
          <w:b/>
          <w:sz w:val="28"/>
          <w:szCs w:val="28"/>
        </w:rPr>
      </w:pPr>
      <w:r w:rsidRPr="003B6C2C">
        <w:rPr>
          <w:b/>
          <w:sz w:val="28"/>
          <w:szCs w:val="28"/>
        </w:rPr>
        <w:t>SLUŽBA ZA PRORAČUN I FINANCIJE</w:t>
      </w: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Pr="003B6C2C" w:rsidRDefault="003B6C2C" w:rsidP="003B6C2C">
      <w:pPr>
        <w:ind w:left="360"/>
        <w:jc w:val="center"/>
        <w:rPr>
          <w:b/>
          <w:sz w:val="32"/>
          <w:szCs w:val="32"/>
        </w:rPr>
      </w:pPr>
      <w:r w:rsidRPr="003B6C2C">
        <w:rPr>
          <w:b/>
          <w:sz w:val="32"/>
          <w:szCs w:val="32"/>
        </w:rPr>
        <w:t xml:space="preserve">UPUTE ZA IZRADU PRORAČUNA OPĆINE </w:t>
      </w:r>
      <w:r w:rsidR="00B02C95">
        <w:rPr>
          <w:b/>
          <w:sz w:val="32"/>
          <w:szCs w:val="32"/>
        </w:rPr>
        <w:t>PRIVLAKA</w:t>
      </w:r>
    </w:p>
    <w:p w:rsidR="003B6C2C" w:rsidRPr="003B6C2C" w:rsidRDefault="003B6C2C" w:rsidP="003B6C2C">
      <w:pPr>
        <w:ind w:left="360"/>
        <w:jc w:val="center"/>
        <w:rPr>
          <w:b/>
          <w:sz w:val="32"/>
          <w:szCs w:val="32"/>
        </w:rPr>
      </w:pPr>
      <w:r w:rsidRPr="003B6C2C">
        <w:rPr>
          <w:b/>
          <w:sz w:val="32"/>
          <w:szCs w:val="32"/>
        </w:rPr>
        <w:t>ZA RAZDOBLJE 201</w:t>
      </w:r>
      <w:r w:rsidR="00067DA9">
        <w:rPr>
          <w:b/>
          <w:sz w:val="32"/>
          <w:szCs w:val="32"/>
        </w:rPr>
        <w:t>9. – 2021</w:t>
      </w:r>
      <w:r w:rsidRPr="003B6C2C">
        <w:rPr>
          <w:b/>
          <w:sz w:val="32"/>
          <w:szCs w:val="32"/>
        </w:rPr>
        <w:t>.</w:t>
      </w: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>
      <w:pPr>
        <w:ind w:left="360"/>
      </w:pPr>
    </w:p>
    <w:p w:rsidR="003B6C2C" w:rsidRDefault="003B6C2C" w:rsidP="003B6C2C"/>
    <w:p w:rsidR="00410DCB" w:rsidRPr="003B6C2C" w:rsidRDefault="003B6C2C" w:rsidP="003B6C2C">
      <w:pPr>
        <w:jc w:val="center"/>
        <w:rPr>
          <w:b/>
        </w:rPr>
      </w:pPr>
      <w:r w:rsidRPr="003B6C2C">
        <w:rPr>
          <w:b/>
        </w:rPr>
        <w:t>Privlaka, rujan 2018. godine</w:t>
      </w:r>
    </w:p>
    <w:p w:rsidR="00410DCB" w:rsidRPr="00B03C5A" w:rsidRDefault="00410DCB" w:rsidP="00B03C5A">
      <w:pPr>
        <w:ind w:left="360"/>
      </w:pPr>
    </w:p>
    <w:p w:rsidR="007F606E" w:rsidRPr="00185A28" w:rsidRDefault="00B03C5A" w:rsidP="00185A28">
      <w:pPr>
        <w:pStyle w:val="Odlomakpopisa"/>
        <w:numPr>
          <w:ilvl w:val="0"/>
          <w:numId w:val="2"/>
        </w:numPr>
        <w:jc w:val="both"/>
        <w:rPr>
          <w:b/>
        </w:rPr>
      </w:pPr>
      <w:r w:rsidRPr="00185A28">
        <w:rPr>
          <w:b/>
        </w:rPr>
        <w:t>UVOD</w:t>
      </w:r>
    </w:p>
    <w:p w:rsidR="007F606E" w:rsidRPr="00185A28" w:rsidRDefault="007F606E" w:rsidP="00185A28">
      <w:pPr>
        <w:jc w:val="both"/>
      </w:pPr>
    </w:p>
    <w:p w:rsidR="007D0C1B" w:rsidRPr="00185A28" w:rsidRDefault="001F678E" w:rsidP="00185A28">
      <w:pPr>
        <w:jc w:val="both"/>
      </w:pPr>
      <w:r w:rsidRPr="00185A28">
        <w:t>Sukladno</w:t>
      </w:r>
      <w:r w:rsidR="00ED7892" w:rsidRPr="00185A28">
        <w:t xml:space="preserve"> odredbama članka 27. </w:t>
      </w:r>
      <w:r w:rsidRPr="00185A28">
        <w:t xml:space="preserve"> Zakon</w:t>
      </w:r>
      <w:r w:rsidR="00ED7892" w:rsidRPr="00185A28">
        <w:t>a</w:t>
      </w:r>
      <w:r w:rsidR="007D0C1B" w:rsidRPr="00185A28">
        <w:t xml:space="preserve"> o proračunu (NN broj 87/08</w:t>
      </w:r>
      <w:r w:rsidRPr="00185A28">
        <w:t>, 136/12 i 15/</w:t>
      </w:r>
      <w:proofErr w:type="spellStart"/>
      <w:r w:rsidRPr="00185A28">
        <w:t>15</w:t>
      </w:r>
      <w:proofErr w:type="spellEnd"/>
      <w:r w:rsidR="007D0C1B" w:rsidRPr="00185A28">
        <w:t xml:space="preserve">) </w:t>
      </w:r>
      <w:r w:rsidRPr="00185A28">
        <w:t xml:space="preserve">Služba za proračun i financije općine Privlaka </w:t>
      </w:r>
      <w:r w:rsidR="0056678F" w:rsidRPr="00185A28">
        <w:t>dostavlja</w:t>
      </w:r>
      <w:r w:rsidRPr="00185A28">
        <w:t xml:space="preserve"> </w:t>
      </w:r>
      <w:r w:rsidR="007D0C1B" w:rsidRPr="00185A28">
        <w:t>Upute za izradu Proračuna Općine Privlaka i financijskih planova proračunskog korisnika za razdoblje od 201</w:t>
      </w:r>
      <w:r w:rsidR="0056678F" w:rsidRPr="00185A28">
        <w:t>9</w:t>
      </w:r>
      <w:r w:rsidR="007D0C1B" w:rsidRPr="00185A28">
        <w:t>. – 20</w:t>
      </w:r>
      <w:r w:rsidR="00DB5BC6" w:rsidRPr="00185A28">
        <w:t>2</w:t>
      </w:r>
      <w:r w:rsidR="0056678F" w:rsidRPr="00185A28">
        <w:t>1</w:t>
      </w:r>
      <w:r w:rsidR="007D0C1B" w:rsidRPr="00185A28">
        <w:t>. godine.</w:t>
      </w:r>
    </w:p>
    <w:p w:rsidR="0056678F" w:rsidRPr="00185A28" w:rsidRDefault="0056678F" w:rsidP="00185A28">
      <w:pPr>
        <w:jc w:val="both"/>
      </w:pPr>
      <w:r w:rsidRPr="00185A28">
        <w:t>Prema proračunskom kalendaru, Vlada Republike Hrvatske (dalje u tekstu: Vlada) usvaja smjernice ekonomske i fiskalne politike za trogodišnje razdoblje koje između ostaloga sadrže ciljeve ekonomske politike za trogodišnje razdoblje te makroekonomski i fiskalni okvir opće države. Smjernice ekonomske i fiskalne politike za razdoblje 2019. - 2021. (dalje u tekstu: Smjernice) koje je Vlada usvojila na svojoj 110. sjednici održanoj 2. kolovoza 2018. izrađene su na temelju Nacionalnog programa reformi 2018. i Programa konvergencije Republike Hrvatske za razdoblje 2018. - 2021. te posebnih preporuka Vijeća EU za Republiku Hrvatsku.</w:t>
      </w:r>
    </w:p>
    <w:p w:rsidR="0056678F" w:rsidRPr="00185A28" w:rsidRDefault="0056678F" w:rsidP="00185A28">
      <w:pPr>
        <w:jc w:val="both"/>
      </w:pPr>
    </w:p>
    <w:p w:rsidR="00180132" w:rsidRPr="00185A28" w:rsidRDefault="0056678F" w:rsidP="00185A28">
      <w:pPr>
        <w:jc w:val="both"/>
      </w:pPr>
      <w:r w:rsidRPr="00185A28">
        <w:t>Sukladno Zakonu o proračunu (Narodne novine, br. 87/08, 136/12 i 15/</w:t>
      </w:r>
      <w:proofErr w:type="spellStart"/>
      <w:r w:rsidRPr="00185A28">
        <w:t>15</w:t>
      </w:r>
      <w:proofErr w:type="spellEnd"/>
      <w:r w:rsidRPr="00185A28">
        <w:t xml:space="preserve">), a na temelju Smjernica, Ministarstvo financija sastavlja Upute za izradu proračuna jedinica lokalne i područne (regionalne) samouprave za razdoblje 2019. - 2021. </w:t>
      </w:r>
    </w:p>
    <w:p w:rsidR="003D2285" w:rsidRPr="00185A28" w:rsidRDefault="003D2285" w:rsidP="00185A28">
      <w:pPr>
        <w:jc w:val="both"/>
      </w:pPr>
    </w:p>
    <w:p w:rsidR="007D0C1B" w:rsidRPr="00185A28" w:rsidRDefault="003D2285" w:rsidP="00185A28">
      <w:pPr>
        <w:jc w:val="both"/>
      </w:pPr>
      <w:r w:rsidRPr="00185A28">
        <w:t>Dostavljene u</w:t>
      </w:r>
      <w:r w:rsidR="007D0C1B" w:rsidRPr="00185A28">
        <w:t>pute</w:t>
      </w:r>
      <w:r w:rsidRPr="00185A28">
        <w:t xml:space="preserve"> Ministarstva financija</w:t>
      </w:r>
      <w:r w:rsidR="007D0C1B" w:rsidRPr="00185A28">
        <w:t xml:space="preserve"> sadrže:</w:t>
      </w:r>
    </w:p>
    <w:p w:rsidR="003D2285" w:rsidRPr="00185A28" w:rsidRDefault="003D2285" w:rsidP="00185A28">
      <w:pPr>
        <w:suppressAutoHyphens w:val="0"/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D2285" w:rsidRPr="00185A28" w:rsidRDefault="003D2285" w:rsidP="00185A28">
      <w:pPr>
        <w:suppressAutoHyphens w:val="0"/>
        <w:autoSpaceDE w:val="0"/>
        <w:adjustRightInd w:val="0"/>
        <w:spacing w:after="22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 xml:space="preserve">- temeljne ekonomske pokazatelje iz Smjernica, </w:t>
      </w:r>
    </w:p>
    <w:p w:rsidR="003D2285" w:rsidRPr="00185A28" w:rsidRDefault="003D2285" w:rsidP="00185A28">
      <w:pPr>
        <w:suppressAutoHyphens w:val="0"/>
        <w:autoSpaceDE w:val="0"/>
        <w:adjustRightInd w:val="0"/>
        <w:spacing w:after="22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 xml:space="preserve">- metodologiju izrade financijskog plana proračunskih i izvanproračunskih korisnika jedinice, </w:t>
      </w:r>
    </w:p>
    <w:p w:rsidR="003D2285" w:rsidRPr="00185A28" w:rsidRDefault="003D2285" w:rsidP="00185A28">
      <w:pPr>
        <w:suppressAutoHyphens w:val="0"/>
        <w:autoSpaceDE w:val="0"/>
        <w:adjustRightInd w:val="0"/>
        <w:spacing w:after="22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 xml:space="preserve">- metodologiju izrade proračuna jedinica lokalne i područne (regionalne) samouprave, </w:t>
      </w:r>
    </w:p>
    <w:p w:rsidR="003D2285" w:rsidRPr="00185A28" w:rsidRDefault="003D2285" w:rsidP="00185A28">
      <w:pPr>
        <w:suppressAutoHyphens w:val="0"/>
        <w:autoSpaceDE w:val="0"/>
        <w:adjustRightInd w:val="0"/>
        <w:spacing w:after="22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 xml:space="preserve">- planiranje rashoda proračunskih korisnika u sklopu decentraliziranih funkcija i </w:t>
      </w:r>
    </w:p>
    <w:p w:rsidR="003D2285" w:rsidRPr="00185A28" w:rsidRDefault="003D2285" w:rsidP="00185A28">
      <w:pPr>
        <w:suppressAutoHyphens w:val="0"/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 xml:space="preserve">- pripadajuće obrasce. </w:t>
      </w:r>
    </w:p>
    <w:p w:rsidR="003D2285" w:rsidRPr="00185A28" w:rsidRDefault="003D2285" w:rsidP="00185A28">
      <w:pPr>
        <w:suppressAutoHyphens w:val="0"/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D2285" w:rsidRPr="00185A28" w:rsidRDefault="003D2285" w:rsidP="00185A28">
      <w:pPr>
        <w:suppressAutoHyphens w:val="0"/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>Temeljem uputa Ministarstva financija, Služba za proračun i financije općine Privlaka</w:t>
      </w:r>
      <w:r w:rsidR="00F87476" w:rsidRPr="00185A28">
        <w:rPr>
          <w:rFonts w:eastAsiaTheme="minorHAnsi"/>
          <w:color w:val="000000"/>
          <w:lang w:eastAsia="en-US"/>
        </w:rPr>
        <w:t xml:space="preserve"> </w:t>
      </w:r>
      <w:r w:rsidRPr="00185A28">
        <w:rPr>
          <w:rFonts w:eastAsiaTheme="minorHAnsi"/>
          <w:color w:val="000000"/>
          <w:lang w:eastAsia="en-US"/>
        </w:rPr>
        <w:t>izradila</w:t>
      </w:r>
      <w:r w:rsidR="00F87476" w:rsidRPr="00185A28">
        <w:rPr>
          <w:rFonts w:eastAsiaTheme="minorHAnsi"/>
          <w:color w:val="000000"/>
          <w:lang w:eastAsia="en-US"/>
        </w:rPr>
        <w:t xml:space="preserve"> je ove Upute za izradu Proračuna općine Privlaka za razdoblje 2019. – 2021. godine.</w:t>
      </w:r>
    </w:p>
    <w:p w:rsidR="00F87476" w:rsidRPr="00185A28" w:rsidRDefault="00F87476" w:rsidP="00185A28">
      <w:pPr>
        <w:suppressAutoHyphens w:val="0"/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>Ove upute sadrže:</w:t>
      </w:r>
    </w:p>
    <w:p w:rsidR="00D73A7C" w:rsidRPr="00185A28" w:rsidRDefault="00D73A7C" w:rsidP="00185A28">
      <w:pPr>
        <w:suppressAutoHyphens w:val="0"/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F87476" w:rsidRPr="00185A28" w:rsidRDefault="00F87476" w:rsidP="00185A28">
      <w:pPr>
        <w:suppressAutoHyphens w:val="0"/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>- temeljna ekonomska ishodišta i pretpostavke za izradu prijedloga proračuna općine Privlaka</w:t>
      </w:r>
    </w:p>
    <w:p w:rsidR="00F87476" w:rsidRPr="00185A28" w:rsidRDefault="00F87476" w:rsidP="00185A28">
      <w:pPr>
        <w:suppressAutoHyphens w:val="0"/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>- metodologiju izrade prijedloga proračuna JL(P)RS</w:t>
      </w:r>
    </w:p>
    <w:p w:rsidR="00F87476" w:rsidRPr="00185A28" w:rsidRDefault="00F87476" w:rsidP="00185A28">
      <w:pPr>
        <w:suppressAutoHyphens w:val="0"/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>- metodologiju izrade prijedloga financijskog plana proračunskog korisnika JL(P)RS</w:t>
      </w:r>
    </w:p>
    <w:p w:rsidR="00F87476" w:rsidRPr="00185A28" w:rsidRDefault="00F87476" w:rsidP="00185A28">
      <w:pPr>
        <w:suppressAutoHyphens w:val="0"/>
        <w:autoSpaceDE w:val="0"/>
        <w:adjustRightInd w:val="0"/>
        <w:jc w:val="both"/>
      </w:pPr>
      <w:r w:rsidRPr="00185A28">
        <w:rPr>
          <w:rFonts w:eastAsiaTheme="minorHAnsi"/>
          <w:color w:val="000000"/>
          <w:lang w:eastAsia="en-US"/>
        </w:rPr>
        <w:t xml:space="preserve">- </w:t>
      </w:r>
      <w:r w:rsidRPr="00185A28">
        <w:t xml:space="preserve">visinu financijskog plana proračunskog korisnika koji sadrži visinu financijskog plana za prethodnu proračunsku godinu i tekuću proračunsku godinu te prijedlog visine financijskog plana za slijedeću proračunsku godinu i za slijedeće dvije godine raspoređen na </w:t>
      </w:r>
    </w:p>
    <w:p w:rsidR="00F87476" w:rsidRPr="00185A28" w:rsidRDefault="00F87476" w:rsidP="00185A28">
      <w:pPr>
        <w:suppressAutoHyphens w:val="0"/>
        <w:autoSpaceDE w:val="0"/>
        <w:adjustRightInd w:val="0"/>
        <w:ind w:firstLine="708"/>
        <w:jc w:val="both"/>
      </w:pPr>
      <w:r w:rsidRPr="00185A28">
        <w:t xml:space="preserve">a) visinu sredstava potrebnih za provedbu postojećih programa, odnosno aktivnosti, koje proizlaze iz trenutno važećih propisa i </w:t>
      </w:r>
    </w:p>
    <w:p w:rsidR="00F87476" w:rsidRPr="00185A28" w:rsidRDefault="00F87476" w:rsidP="00185A28">
      <w:pPr>
        <w:suppressAutoHyphens w:val="0"/>
        <w:autoSpaceDE w:val="0"/>
        <w:adjustRightInd w:val="0"/>
        <w:ind w:firstLine="708"/>
        <w:jc w:val="both"/>
      </w:pPr>
      <w:r w:rsidRPr="00185A28">
        <w:t>b) visinu sredstava potrebnih za uvođenje i provedbu novih ili promjenu postojećih programa, odnosno aktivnost</w:t>
      </w:r>
    </w:p>
    <w:p w:rsidR="007F4759" w:rsidRPr="00185A28" w:rsidRDefault="007F4759" w:rsidP="00185A28">
      <w:pPr>
        <w:suppressAutoHyphens w:val="0"/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185A28">
        <w:t>- način pripreme i terminski plan za izradu proračuna i prijedloga financijskog plana proračunskog korisnika Općine Privlaka</w:t>
      </w:r>
    </w:p>
    <w:p w:rsidR="003D2285" w:rsidRPr="00185A28" w:rsidRDefault="003D2285" w:rsidP="00185A28">
      <w:pPr>
        <w:suppressAutoHyphens w:val="0"/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7D0C1B" w:rsidRPr="00185A28" w:rsidRDefault="00AF40D1" w:rsidP="00185A28">
      <w:pPr>
        <w:jc w:val="both"/>
      </w:pPr>
      <w:r w:rsidRPr="00185A28">
        <w:t>Pri izradi prijedloga financijskog plana proračunski korisnik proračuna Općine Privlaka ob</w:t>
      </w:r>
      <w:r w:rsidR="00C83117" w:rsidRPr="00185A28">
        <w:t>vezan se pridržavati ovih uputa</w:t>
      </w:r>
      <w:r w:rsidRPr="00185A28">
        <w:t xml:space="preserve">. Čelnik proračunskog korisnika odgovoran je za zakonito i pravilno planiranje i izvršavanje financijskog plana i u skladu s određenim limitima. </w:t>
      </w:r>
      <w:r w:rsidR="007D0C1B" w:rsidRPr="00185A28">
        <w:t xml:space="preserve">                                             </w:t>
      </w:r>
    </w:p>
    <w:p w:rsidR="007D0C1B" w:rsidRPr="00185A28" w:rsidRDefault="007D0C1B" w:rsidP="00185A28">
      <w:pPr>
        <w:jc w:val="both"/>
        <w:rPr>
          <w:b/>
          <w:bCs/>
        </w:rPr>
      </w:pPr>
    </w:p>
    <w:p w:rsidR="00D73A7C" w:rsidRPr="00185A28" w:rsidRDefault="00D73A7C" w:rsidP="00185A28">
      <w:pPr>
        <w:jc w:val="both"/>
        <w:rPr>
          <w:b/>
          <w:bCs/>
        </w:rPr>
      </w:pPr>
    </w:p>
    <w:p w:rsidR="00D73A7C" w:rsidRPr="00185A28" w:rsidRDefault="00D73A7C" w:rsidP="00185A28">
      <w:pPr>
        <w:jc w:val="both"/>
        <w:rPr>
          <w:b/>
          <w:bCs/>
        </w:rPr>
      </w:pPr>
    </w:p>
    <w:p w:rsidR="00D73A7C" w:rsidRPr="00185A28" w:rsidRDefault="00D73A7C" w:rsidP="00185A28">
      <w:pPr>
        <w:jc w:val="both"/>
        <w:rPr>
          <w:b/>
          <w:bCs/>
        </w:rPr>
      </w:pPr>
    </w:p>
    <w:p w:rsidR="007D0C1B" w:rsidRPr="00185A28" w:rsidRDefault="00C83117" w:rsidP="00185A28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185A28">
        <w:rPr>
          <w:b/>
          <w:bCs/>
        </w:rPr>
        <w:lastRenderedPageBreak/>
        <w:t>TEMELJNA EKONOMSKA ISHODIŠTA I PRETPOSTAVKE ZA IZRADU PRIJEDLOGA PRORAČUNA OPĆINE PRIVLAKA</w:t>
      </w:r>
      <w:r w:rsidR="007D0C1B" w:rsidRPr="00185A28">
        <w:rPr>
          <w:b/>
          <w:bCs/>
        </w:rPr>
        <w:t xml:space="preserve"> </w:t>
      </w:r>
    </w:p>
    <w:p w:rsidR="00D73A7C" w:rsidRPr="00185A28" w:rsidRDefault="00D73A7C" w:rsidP="00185A28">
      <w:pPr>
        <w:pStyle w:val="Odlomakpopisa"/>
        <w:jc w:val="both"/>
        <w:rPr>
          <w:b/>
          <w:bCs/>
        </w:rPr>
      </w:pPr>
    </w:p>
    <w:p w:rsidR="00C83117" w:rsidRPr="00185A28" w:rsidRDefault="00C83117" w:rsidP="00185A28">
      <w:pPr>
        <w:ind w:left="360"/>
        <w:jc w:val="both"/>
        <w:rPr>
          <w:b/>
          <w:bCs/>
        </w:rPr>
      </w:pPr>
    </w:p>
    <w:p w:rsidR="007D0C1B" w:rsidRDefault="00C83117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  <w:r w:rsidRPr="00185A28">
        <w:rPr>
          <w:rFonts w:eastAsiaTheme="minorHAnsi"/>
          <w:lang w:eastAsia="en-US"/>
        </w:rPr>
        <w:t>Vlada Republike Hrvatske je krajem travnja 2018. godine usvojila te dostavila Europskoj komisiji Nacionalni program reformi Republike Hrvatske za 2018., kao i Program konvergencije Republike Hrvatske za razdoblje 2018. – 2021. Program konvergencije opisuje makroekonomska i fiskalna kretanja te izglede u narednom razdoblju, a definira i planove za osiguravanje srednjoročne održivosti javnih financija.</w:t>
      </w:r>
    </w:p>
    <w:p w:rsidR="000568E0" w:rsidRPr="00185A28" w:rsidRDefault="000568E0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</w:p>
    <w:p w:rsidR="00D73A7C" w:rsidRDefault="00D73A7C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  <w:r w:rsidRPr="00185A28">
        <w:rPr>
          <w:rFonts w:eastAsiaTheme="minorHAnsi"/>
          <w:lang w:eastAsia="en-US"/>
        </w:rPr>
        <w:t>Važnu ulogu ima cjelovita reforma poreznog sustava koja je započela 1. siječnja 2017. te nastavljena u 2018. godini s ciljem smanjenja ukupnog poreznog i administrativnog opterećenja, stvaranja stabilnijeg i jednostavnijeg poreznog sustava koji će pružiti veću sigurnost za sve porezne obveznike. Treći krug poreznog rasterećenja predviđa se od početka 2019. godine, a najznačajnije izmjene odnose se na promjene u oporezivanju porezom na dodanu vrijednost te oporezivanju rada.</w:t>
      </w:r>
    </w:p>
    <w:p w:rsidR="000568E0" w:rsidRPr="00185A28" w:rsidRDefault="000568E0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</w:p>
    <w:p w:rsidR="00D73A7C" w:rsidRPr="00185A28" w:rsidRDefault="00D73A7C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  <w:r w:rsidRPr="00185A28">
        <w:rPr>
          <w:rFonts w:eastAsiaTheme="minorHAnsi"/>
          <w:lang w:eastAsia="en-US"/>
        </w:rPr>
        <w:t>Značajan učinak na prihode proračuna imat će i povlačenje sredstva iz EU fondova koja</w:t>
      </w:r>
    </w:p>
    <w:p w:rsidR="00D73A7C" w:rsidRPr="00185A28" w:rsidRDefault="00D73A7C" w:rsidP="00185A28">
      <w:pPr>
        <w:suppressAutoHyphens w:val="0"/>
        <w:autoSpaceDE w:val="0"/>
        <w:adjustRightInd w:val="0"/>
        <w:jc w:val="both"/>
        <w:rPr>
          <w:rFonts w:eastAsiaTheme="minorHAnsi"/>
          <w:lang w:eastAsia="en-US"/>
        </w:rPr>
      </w:pPr>
      <w:r w:rsidRPr="00185A28">
        <w:rPr>
          <w:rFonts w:eastAsiaTheme="minorHAnsi"/>
          <w:lang w:eastAsia="en-US"/>
        </w:rPr>
        <w:t xml:space="preserve">će biti usmjerena na različite razvojne i infrastrukturne projekte </w:t>
      </w:r>
      <w:r w:rsidR="003E170D" w:rsidRPr="00185A28">
        <w:rPr>
          <w:rFonts w:eastAsiaTheme="minorHAnsi"/>
          <w:lang w:eastAsia="en-US"/>
        </w:rPr>
        <w:t>.</w:t>
      </w:r>
    </w:p>
    <w:p w:rsidR="007D0C1B" w:rsidRPr="00185A28" w:rsidRDefault="00D73A7C" w:rsidP="00185A28">
      <w:pPr>
        <w:jc w:val="both"/>
      </w:pPr>
      <w:r w:rsidRPr="00185A28">
        <w:t>Rashodna strana proračuna određena je daljnjim jačanjem fiskalne održivosti uz provođenje mjera u svrhu poticanja razvoja i adekvatne skrbi za sve slojeve stanovništva.</w:t>
      </w:r>
    </w:p>
    <w:p w:rsidR="00D73A7C" w:rsidRPr="00185A28" w:rsidRDefault="00D73A7C" w:rsidP="00185A28">
      <w:pPr>
        <w:jc w:val="both"/>
      </w:pPr>
    </w:p>
    <w:p w:rsidR="00185A28" w:rsidRPr="00185A28" w:rsidRDefault="00185A28" w:rsidP="00185A28">
      <w:pPr>
        <w:jc w:val="both"/>
      </w:pPr>
    </w:p>
    <w:p w:rsidR="00D73A7C" w:rsidRPr="00185A28" w:rsidRDefault="00D36367" w:rsidP="00185A28">
      <w:pPr>
        <w:pStyle w:val="Odlomakpopisa"/>
        <w:numPr>
          <w:ilvl w:val="0"/>
          <w:numId w:val="2"/>
        </w:numPr>
        <w:jc w:val="both"/>
        <w:rPr>
          <w:b/>
        </w:rPr>
      </w:pPr>
      <w:r w:rsidRPr="00185A28">
        <w:rPr>
          <w:b/>
        </w:rPr>
        <w:t>METODOLOGIJA IZRADE PRIJEDLOGA PRORAČUNA JEDINICE LOKALNE I PODRUČNE (REGIONALNE) SAMOUPRAVE</w:t>
      </w:r>
    </w:p>
    <w:p w:rsidR="00D36367" w:rsidRPr="00185A28" w:rsidRDefault="00D36367" w:rsidP="00185A28">
      <w:pPr>
        <w:jc w:val="both"/>
        <w:rPr>
          <w:b/>
        </w:rPr>
      </w:pPr>
    </w:p>
    <w:p w:rsidR="00261A81" w:rsidRPr="00185A28" w:rsidRDefault="00261A81" w:rsidP="00185A28">
      <w:pPr>
        <w:jc w:val="both"/>
      </w:pPr>
    </w:p>
    <w:p w:rsidR="00261A81" w:rsidRPr="00185A28" w:rsidRDefault="00261A81" w:rsidP="00185A28">
      <w:pPr>
        <w:jc w:val="both"/>
      </w:pPr>
      <w:r w:rsidRPr="00185A28">
        <w:t>Metodologija izrade proračuna propisana je Zakonom o proračunu Zakonom o proračunu  (NN broj 87/08, 136/12 i 15/</w:t>
      </w:r>
      <w:proofErr w:type="spellStart"/>
      <w:r w:rsidRPr="00185A28">
        <w:t>15</w:t>
      </w:r>
      <w:proofErr w:type="spellEnd"/>
      <w:r w:rsidRPr="00185A28">
        <w:t xml:space="preserve">) i </w:t>
      </w:r>
      <w:proofErr w:type="spellStart"/>
      <w:r w:rsidRPr="00185A28">
        <w:t>podzakonskim</w:t>
      </w:r>
      <w:proofErr w:type="spellEnd"/>
      <w:r w:rsidRPr="00185A28">
        <w:t xml:space="preserve"> aktima: Pravilnikom o proračunskim klasifikacijama (NN broj 26/10 i 120/13) i Pravilnikom o proračunskom računovodstvu i Računskom planu  (NN broj 124/14, 115/15, 87/16, 3/18). </w:t>
      </w:r>
    </w:p>
    <w:p w:rsidR="00261A81" w:rsidRPr="00185A28" w:rsidRDefault="00261A81" w:rsidP="00185A28">
      <w:pPr>
        <w:jc w:val="both"/>
      </w:pPr>
    </w:p>
    <w:p w:rsidR="00261A81" w:rsidRPr="00185A28" w:rsidRDefault="00261A81" w:rsidP="00185A28">
      <w:pPr>
        <w:jc w:val="both"/>
      </w:pPr>
      <w:r w:rsidRPr="00185A28">
        <w:t xml:space="preserve">Proračun jedinice lokalne samouprave sastoji se, sukladno članku 16. Zakona o proračunu, od općeg i posebnog dijela za 2019. godinu, projekcija za 2020. i 2021. godinu te plana razvojnih programa. Opći dio proračuna čini Račun prihoda i rashoda i Račun financiranja. Posebni dio proračuna sastoji se od plana rashoda i izdataka proračunskih korisnika iskazanih prema organizacijskoj, programskoj i ekonomskoj klasifikaciji. </w:t>
      </w:r>
    </w:p>
    <w:p w:rsidR="00261A81" w:rsidRPr="00185A28" w:rsidRDefault="00261A81" w:rsidP="00185A28">
      <w:pPr>
        <w:jc w:val="both"/>
      </w:pPr>
    </w:p>
    <w:p w:rsidR="00261A81" w:rsidRDefault="00FB48B4" w:rsidP="00185A28">
      <w:pPr>
        <w:jc w:val="both"/>
      </w:pPr>
      <w:r>
        <w:t>Obvezno je u</w:t>
      </w:r>
      <w:r w:rsidR="00261A81" w:rsidRPr="00185A28">
        <w:t>ključivanj</w:t>
      </w:r>
      <w:r>
        <w:t>e</w:t>
      </w:r>
      <w:r w:rsidR="00261A81" w:rsidRPr="00185A28">
        <w:t xml:space="preserve"> svih prihoda i primitaka, rashoda i izdataka proračunskih korisnika u proračun jedinice lokalne samouprave, sukladno ekonomskoj, programskoj, funkcijskoj, organizacijskoj, lokacijskoj klasifi</w:t>
      </w:r>
      <w:r>
        <w:t>kaciji te izvorima financiranja.</w:t>
      </w:r>
    </w:p>
    <w:p w:rsidR="00FB48B4" w:rsidRPr="00185A28" w:rsidRDefault="00FB48B4" w:rsidP="00185A28">
      <w:pPr>
        <w:jc w:val="both"/>
      </w:pPr>
    </w:p>
    <w:p w:rsidR="00DF7F33" w:rsidRPr="00185A28" w:rsidRDefault="00261A81" w:rsidP="00185A28">
      <w:pPr>
        <w:jc w:val="both"/>
      </w:pPr>
      <w:r w:rsidRPr="00185A28">
        <w:t xml:space="preserve">Plan razvojnih programa je dokument sastavljen za trogodišnje razdoblje koji sadrži ciljeve i prioritete razvoja jedinice lokalne i regionalne (područne) samouprave povezane s programskom i organizacijskom klasifikacijom proračuna. </w:t>
      </w:r>
    </w:p>
    <w:p w:rsidR="00DF7F33" w:rsidRPr="00185A28" w:rsidRDefault="00DF7F33" w:rsidP="00185A28">
      <w:pPr>
        <w:jc w:val="both"/>
      </w:pPr>
    </w:p>
    <w:p w:rsidR="00BF195A" w:rsidRDefault="00261A81" w:rsidP="00185A28">
      <w:pPr>
        <w:jc w:val="both"/>
      </w:pPr>
      <w:r w:rsidRPr="00185A28">
        <w:t>Predstavničko tijelo jedinice lokalne i područne (regionalne) samouprave donosi proračun jedinice lokalne i područne (regionalne) samouprave za 201</w:t>
      </w:r>
      <w:r w:rsidR="00DF7F33" w:rsidRPr="00185A28">
        <w:t>9</w:t>
      </w:r>
      <w:r w:rsidRPr="00185A28">
        <w:t>. godinu na razini podskupine (treća razina računskog plana), a projekcije za 20</w:t>
      </w:r>
      <w:r w:rsidR="00DF7F33" w:rsidRPr="00185A28">
        <w:t>20</w:t>
      </w:r>
      <w:r w:rsidRPr="00185A28">
        <w:t>. i 202</w:t>
      </w:r>
      <w:r w:rsidR="00DF7F33" w:rsidRPr="00185A28">
        <w:t>1</w:t>
      </w:r>
      <w:r w:rsidRPr="00185A28">
        <w:t>. godinu na razini skupine (druga razina računskog plana).</w:t>
      </w:r>
      <w:bookmarkStart w:id="0" w:name="_GoBack"/>
      <w:bookmarkEnd w:id="0"/>
    </w:p>
    <w:p w:rsidR="00FB48B4" w:rsidRDefault="00FB48B4" w:rsidP="00FB48B4">
      <w:pPr>
        <w:pStyle w:val="Odlomakpopisa"/>
        <w:numPr>
          <w:ilvl w:val="1"/>
          <w:numId w:val="2"/>
        </w:numPr>
        <w:jc w:val="both"/>
        <w:rPr>
          <w:b/>
        </w:rPr>
      </w:pPr>
      <w:r w:rsidRPr="00FB48B4">
        <w:rPr>
          <w:b/>
        </w:rPr>
        <w:lastRenderedPageBreak/>
        <w:t xml:space="preserve"> Primjena ekonomske klasifikacije</w:t>
      </w:r>
    </w:p>
    <w:p w:rsidR="00BF195A" w:rsidRPr="00BF195A" w:rsidRDefault="00BF195A" w:rsidP="00BF195A">
      <w:pPr>
        <w:jc w:val="both"/>
        <w:rPr>
          <w:b/>
        </w:rPr>
      </w:pPr>
    </w:p>
    <w:p w:rsidR="00FB48B4" w:rsidRDefault="00FB48B4" w:rsidP="00FB48B4">
      <w:pPr>
        <w:jc w:val="both"/>
      </w:pPr>
      <w:r>
        <w:t xml:space="preserve">Prihod od naknade za uređenje voda prihod je Hrvatskih voda, a Hrvatske vode su ovlastile jedinice lokalne samouprave da taj prihod prikupljaju u ime i za račun Hrvatskih voda. Jedinice lokalne samouprave prihod od naknade za uređenje voda prikupljaju zajedno s komunalnom naknadom. Prihodi od naknade za uređenje voda evidentiraju se na osnovnom računu 23955 Obveze za naplaćene tuđe prihode, a ne, kako to evidentiraju neke jedinice, na računu 65224 Naknada za uređenje voda. Obveza za naplaćene tuđe prihode se zatvara u trenutku prijenosa sredstava na račun Hrvatskih voda. Navedeno znači da jedinice lokalne samouprave ne planiraju prihod od naknade za uređenje voda u okviru podskupine 652 Prihodi po posebnim propisima. </w:t>
      </w:r>
    </w:p>
    <w:p w:rsidR="00FB48B4" w:rsidRDefault="00FB48B4" w:rsidP="00FB48B4">
      <w:pPr>
        <w:jc w:val="both"/>
      </w:pPr>
    </w:p>
    <w:p w:rsidR="00FB48B4" w:rsidRDefault="00FB48B4" w:rsidP="00FB48B4">
      <w:pPr>
        <w:jc w:val="both"/>
      </w:pPr>
      <w:r>
        <w:t xml:space="preserve">Rashodi za projektnu dokumentaciju, usluge konzaltinga i nadzora, koji su povezani s rashodima za tekuće i investicijsko održavanje, evidentiraju se kao i izvedeni radovi na istom osnovnom računu unutar odjeljka 3232 Usluge tekućeg i investicijskog održavanja, a planiraju na podskupini 323 Rashodi za usluge. Međutim, ako su navedeni rashodi povezani s dodatnim ulaganjem, evidentiraju se i planiraju u okviru skupine računa 45 Rashodi za dodatna ulaganja na nefinancijskoj imovini. </w:t>
      </w:r>
    </w:p>
    <w:p w:rsidR="00FB48B4" w:rsidRDefault="00FB48B4" w:rsidP="00FB48B4">
      <w:pPr>
        <w:jc w:val="both"/>
      </w:pPr>
    </w:p>
    <w:p w:rsidR="00FB48B4" w:rsidRDefault="00FB48B4" w:rsidP="00FB48B4">
      <w:pPr>
        <w:jc w:val="both"/>
      </w:pPr>
      <w:r>
        <w:t xml:space="preserve">Ukupni prihod od poreza na dohodak prikupljen na svom području jedinice planiraju unutar podskupine računa 611 Porez i prirez na dohodak. Odredbama Zakona o financiranju jedinica lokalne i područne (regionalne) samouprave (Narodne novine, br. 127/17) propisano je da se od ukupno ostvarenih prihoda od poreza na dohodak 17% izdvaja za fiskalno izravnanje. Sredstva fiskalnog izravnanja jedinice primaju na dnevnoj bazi i također evidentiraju kao prihod od poreza na dohodak u okviru podskupine računa 611 Porez i prirez na dohodak i to kao nenamjenski prihod. </w:t>
      </w:r>
    </w:p>
    <w:p w:rsidR="00FB48B4" w:rsidRDefault="00FB48B4" w:rsidP="00FB48B4">
      <w:pPr>
        <w:jc w:val="both"/>
      </w:pPr>
    </w:p>
    <w:p w:rsidR="00FB48B4" w:rsidRDefault="00FB48B4" w:rsidP="00FB48B4">
      <w:pPr>
        <w:jc w:val="both"/>
      </w:pPr>
      <w:r>
        <w:t xml:space="preserve">Prema članku 5. Zakona o financiranju jedinica lokalne i područne (regionalne) samouprave, Ministarstvu financija, Poreznoj upravi pripada naknada u iznosu od 1% od ukupno naplaćenih prihoda za troškove obavljanja poslova utvrđivanja, evidentiranja, naplate, nadzora i ovrhe poreza na dohodak. Naknadu je potrebno planirati kao materijalni rashod u okviru podskupine računa 323 Rashodi za usluge (računovodstveno se iskazuje na osnovnom računu 32399 Ostale nespomenute usluge). </w:t>
      </w:r>
    </w:p>
    <w:p w:rsidR="00FB48B4" w:rsidRDefault="00FB48B4" w:rsidP="00FB48B4">
      <w:pPr>
        <w:jc w:val="both"/>
      </w:pPr>
    </w:p>
    <w:p w:rsidR="00FB48B4" w:rsidRPr="00FB48B4" w:rsidRDefault="00FB48B4" w:rsidP="00FB48B4">
      <w:pPr>
        <w:jc w:val="both"/>
        <w:rPr>
          <w:b/>
        </w:rPr>
      </w:pPr>
      <w:r>
        <w:t>Paušalni porez po krevetu planira se u okviru podskupine računa 611 Porez i prirez na dohodak, a računovodstveno evidentira na osnovnom računu 61132 Porez i prirez na dohodak od iznajmljivanja stanova, soba i postelja putnicima i turistima. Boravišna pristojba planira se u okviru podskupine računa 651 Upravne i administrativne pristojbe, a evidentira na osnovnom računu 65141 Boravišne pristojbe.</w:t>
      </w:r>
    </w:p>
    <w:p w:rsidR="00DF7F33" w:rsidRDefault="00DF7F33" w:rsidP="00185A28">
      <w:pPr>
        <w:jc w:val="both"/>
      </w:pPr>
    </w:p>
    <w:p w:rsidR="00BF195A" w:rsidRPr="00185A28" w:rsidRDefault="00BF195A" w:rsidP="00185A28">
      <w:pPr>
        <w:jc w:val="both"/>
      </w:pPr>
    </w:p>
    <w:p w:rsidR="00DF7F33" w:rsidRPr="00185A28" w:rsidRDefault="00DF7F33" w:rsidP="00185A28">
      <w:pPr>
        <w:pStyle w:val="Odlomakpopisa"/>
        <w:numPr>
          <w:ilvl w:val="1"/>
          <w:numId w:val="2"/>
        </w:numPr>
        <w:jc w:val="both"/>
        <w:rPr>
          <w:b/>
        </w:rPr>
      </w:pPr>
      <w:r w:rsidRPr="00185A28">
        <w:rPr>
          <w:b/>
        </w:rPr>
        <w:t xml:space="preserve"> Dostava proračuna i odluke o izvršenju proračuna Ministarstvu financija</w:t>
      </w:r>
    </w:p>
    <w:p w:rsidR="00DF7F33" w:rsidRPr="00185A28" w:rsidRDefault="00DF7F33" w:rsidP="00185A28">
      <w:pPr>
        <w:jc w:val="both"/>
        <w:rPr>
          <w:b/>
        </w:rPr>
      </w:pPr>
    </w:p>
    <w:p w:rsidR="00A6434E" w:rsidRPr="00185A28" w:rsidRDefault="00A6434E" w:rsidP="00185A28">
      <w:pPr>
        <w:jc w:val="both"/>
      </w:pPr>
      <w:r w:rsidRPr="00185A28">
        <w:t xml:space="preserve">Sukladno članku 40. Zakona o proračunu, načelnik, gradonačelnik i župan obvezni su dostaviti Ministarstvu financija proračun i projekcije, odluke o izvršavanju proračuna te izmjene i dopune proračuna jedinica lokalne i područne (regionalne) samouprave u roku od 15 dana od njihova stupanja na snagu. Jedinice lokalne i područne (regionalne) samouprave obvezne su na adresu e-pošte Ministarstva financija: </w:t>
      </w:r>
      <w:proofErr w:type="spellStart"/>
      <w:r w:rsidRPr="00185A28">
        <w:t>lokalni.proracuni</w:t>
      </w:r>
      <w:proofErr w:type="spellEnd"/>
      <w:r w:rsidRPr="00185A28">
        <w:t>@</w:t>
      </w:r>
      <w:proofErr w:type="spellStart"/>
      <w:r w:rsidRPr="00185A28">
        <w:t>mfin.hr</w:t>
      </w:r>
      <w:proofErr w:type="spellEnd"/>
      <w:r w:rsidRPr="00185A28">
        <w:t xml:space="preserve"> poslati link na navedene dokumente objavljene u službenom glasilu, u roku od 15 dana od dana njihova stupanja na snagu. Sve izmjene i dopune proračuna jedinice lokalne i područne (regionalne) </w:t>
      </w:r>
      <w:r w:rsidRPr="00185A28">
        <w:lastRenderedPageBreak/>
        <w:t xml:space="preserve">samouprave za 2019. godinu koje stupe na snagu tijekom 2019. godine dostavljaju se također u roku od 15 dana od dana njihova stupanja na snagu i na istu e-mail adresu. </w:t>
      </w:r>
    </w:p>
    <w:p w:rsidR="00A6434E" w:rsidRPr="00185A28" w:rsidRDefault="00A6434E" w:rsidP="00185A28">
      <w:pPr>
        <w:jc w:val="both"/>
      </w:pPr>
    </w:p>
    <w:p w:rsidR="00A6434E" w:rsidRPr="00185A28" w:rsidRDefault="00A6434E" w:rsidP="00185A28">
      <w:pPr>
        <w:jc w:val="both"/>
      </w:pPr>
      <w:r w:rsidRPr="00185A28">
        <w:t>Sukladno članku 112. Zakona o proračunu, godišnji izvještaj o izvršenju proračuna jedinice lokalne i područne (regionalne) samouprave dostavlja se Ministarstvu financija i Državnom uredu za reviziju u roku od 15 dana nakon što ga donese predstavničko tijelo jedinice lokalne i područne (regionalne) samouprave. Iznimno, ako predstavničko tijelo ne donese izvještaj, isti se dostavlja Ministarstvu financija i Državnom uredu za reviziju u roku od 60 dana od dana podnošenja predstavničkom tijelu.</w:t>
      </w:r>
    </w:p>
    <w:p w:rsidR="00A6434E" w:rsidRPr="00185A28" w:rsidRDefault="00A6434E" w:rsidP="00185A28">
      <w:pPr>
        <w:jc w:val="both"/>
      </w:pPr>
    </w:p>
    <w:p w:rsidR="00DF7F33" w:rsidRPr="00185A28" w:rsidRDefault="00A6434E" w:rsidP="00185A28">
      <w:pPr>
        <w:jc w:val="both"/>
      </w:pPr>
      <w:r w:rsidRPr="00185A28">
        <w:t xml:space="preserve">Sukladno Uputama za izradu proračuna jedinica lokalne i područne (regionalne) samouprave za razdoblje 2019. - 2021. godišnje izvještaje o izvršenju proračuna jedinica lokalne i područne (regionalne) samouprave, nije potrebno više dostavljati u papirnatom obliku putem pošte Ministarstvu financija, kao niti Državnom uredu za reviziju. Ministarstvu financija je potrebno na e-mail adresu </w:t>
      </w:r>
      <w:proofErr w:type="spellStart"/>
      <w:r w:rsidRPr="00185A28">
        <w:t>lokalni.proracuni</w:t>
      </w:r>
      <w:proofErr w:type="spellEnd"/>
      <w:r w:rsidRPr="00185A28">
        <w:t>@</w:t>
      </w:r>
      <w:proofErr w:type="spellStart"/>
      <w:r w:rsidRPr="00185A28">
        <w:t>mfin.hr</w:t>
      </w:r>
      <w:proofErr w:type="spellEnd"/>
      <w:r w:rsidRPr="00185A28">
        <w:t xml:space="preserve"> dostaviti isključivo link na internetsku stranicu jedinice lokalne i područne (regionalne) samouprave na kojoj je izvještaj objavljen. Državnom uredu za reviziju je podatak o linku potrebno dostaviti na e-mail Državnog ureda za reviziju na e-mail područnog ureda Državnog ureda za reviziju na čijem području je sjedište jedinice. Sve e-mail adrese su objavljene na mrežnoj stranici Državnog ureda za reviziju, </w:t>
      </w:r>
      <w:hyperlink r:id="rId7" w:history="1">
        <w:r w:rsidR="0076158A" w:rsidRPr="00185A28">
          <w:rPr>
            <w:rStyle w:val="Hiperveza"/>
          </w:rPr>
          <w:t>http://www.revizija.hr/hr/kontakt/</w:t>
        </w:r>
      </w:hyperlink>
      <w:r w:rsidRPr="00185A28">
        <w:t>.</w:t>
      </w:r>
    </w:p>
    <w:p w:rsidR="0076158A" w:rsidRPr="00185A28" w:rsidRDefault="0076158A" w:rsidP="00185A28">
      <w:pPr>
        <w:jc w:val="both"/>
        <w:rPr>
          <w:b/>
        </w:rPr>
      </w:pPr>
    </w:p>
    <w:p w:rsidR="00DF7F33" w:rsidRPr="00185A28" w:rsidRDefault="00DF7F33" w:rsidP="00185A28">
      <w:pPr>
        <w:jc w:val="both"/>
      </w:pPr>
    </w:p>
    <w:p w:rsidR="0076158A" w:rsidRPr="00185A28" w:rsidRDefault="0076158A" w:rsidP="00185A28">
      <w:pPr>
        <w:pStyle w:val="Odlomakpopisa"/>
        <w:numPr>
          <w:ilvl w:val="1"/>
          <w:numId w:val="2"/>
        </w:numPr>
        <w:jc w:val="both"/>
        <w:rPr>
          <w:b/>
        </w:rPr>
      </w:pPr>
      <w:r w:rsidRPr="00185A28">
        <w:rPr>
          <w:b/>
        </w:rPr>
        <w:t>Unos podataka iz proračuna jedinica na web aplikaciju za statističke podatke</w:t>
      </w:r>
    </w:p>
    <w:p w:rsidR="0076158A" w:rsidRPr="00185A28" w:rsidRDefault="0076158A" w:rsidP="00185A28">
      <w:pPr>
        <w:jc w:val="both"/>
        <w:rPr>
          <w:b/>
        </w:rPr>
      </w:pPr>
    </w:p>
    <w:p w:rsidR="0076158A" w:rsidRPr="00185A28" w:rsidRDefault="0076158A" w:rsidP="00185A28">
      <w:pPr>
        <w:suppressAutoHyphens w:val="0"/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 xml:space="preserve">Za potrebe statističkog praćenja, a radi učinkovitosti korištenja podataka jedinice unose podatke po ekonomskoj klasifikaciji u posebnu web aplikaciju Ministarstva financija „Financijski planovi JLP(R)S“ (raspoloživu na stranci: https://www3.apisit.hr/wab/servlet/proweb/webjlprs/LogIN) iz dokumenata: </w:t>
      </w:r>
    </w:p>
    <w:p w:rsidR="0076158A" w:rsidRPr="00185A28" w:rsidRDefault="0076158A" w:rsidP="00185A28">
      <w:pPr>
        <w:suppressAutoHyphens w:val="0"/>
        <w:autoSpaceDE w:val="0"/>
        <w:adjustRightInd w:val="0"/>
        <w:spacing w:after="22"/>
        <w:ind w:firstLine="708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 xml:space="preserve">- proračuna za 2019. i projekcija za 2020. i 2021., </w:t>
      </w:r>
    </w:p>
    <w:p w:rsidR="0076158A" w:rsidRPr="00185A28" w:rsidRDefault="0016435E" w:rsidP="00185A28">
      <w:pPr>
        <w:suppressAutoHyphens w:val="0"/>
        <w:autoSpaceDE w:val="0"/>
        <w:adjustRightInd w:val="0"/>
        <w:spacing w:after="22"/>
        <w:ind w:left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76158A" w:rsidRPr="00185A28">
        <w:rPr>
          <w:rFonts w:eastAsiaTheme="minorHAnsi"/>
          <w:color w:val="000000"/>
          <w:lang w:eastAsia="en-US"/>
        </w:rPr>
        <w:t xml:space="preserve">privremenog financiranja za 2019. (u slučaju donošenja odluke o privremenom financiranju) i </w:t>
      </w:r>
    </w:p>
    <w:p w:rsidR="0076158A" w:rsidRPr="00185A28" w:rsidRDefault="0076158A" w:rsidP="00185A28">
      <w:pPr>
        <w:suppressAutoHyphens w:val="0"/>
        <w:autoSpaceDE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 xml:space="preserve">- svih izmjena i dopuna proračuna za 2019. </w:t>
      </w:r>
    </w:p>
    <w:p w:rsidR="0076158A" w:rsidRPr="00185A28" w:rsidRDefault="0076158A" w:rsidP="00185A28">
      <w:pPr>
        <w:suppressAutoHyphens w:val="0"/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76158A" w:rsidRPr="00185A28" w:rsidRDefault="0076158A" w:rsidP="00185A28">
      <w:pPr>
        <w:suppressAutoHyphens w:val="0"/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 xml:space="preserve">Sve podatke u aplikaciju treba unositi kontinuirano, najkasnije 15 dana od dana stupanja na snagu svakog pojedinog dokumenta planiranja. </w:t>
      </w:r>
    </w:p>
    <w:p w:rsidR="0076158A" w:rsidRPr="00185A28" w:rsidRDefault="0076158A" w:rsidP="00185A28">
      <w:pPr>
        <w:suppressAutoHyphens w:val="0"/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76158A" w:rsidRPr="00185A28" w:rsidRDefault="0076158A" w:rsidP="00185A28">
      <w:pPr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 xml:space="preserve">Upute za pristup i korištenje aplikacije dostupne su na mrežnoj stranici Ministarstva financija, na adresi </w:t>
      </w:r>
      <w:hyperlink r:id="rId8" w:history="1">
        <w:r w:rsidRPr="00185A28">
          <w:rPr>
            <w:rStyle w:val="Hiperveza"/>
            <w:rFonts w:eastAsiaTheme="minorHAnsi"/>
            <w:lang w:eastAsia="en-US"/>
          </w:rPr>
          <w:t>http://www.mfin.hr/hr/elektronicka-dostava-planova-proracuna-jlprs-upute</w:t>
        </w:r>
      </w:hyperlink>
      <w:r w:rsidRPr="00185A28">
        <w:rPr>
          <w:rFonts w:eastAsiaTheme="minorHAnsi"/>
          <w:color w:val="000000"/>
          <w:lang w:eastAsia="en-US"/>
        </w:rPr>
        <w:t>.</w:t>
      </w:r>
    </w:p>
    <w:p w:rsidR="0076158A" w:rsidRPr="00185A28" w:rsidRDefault="0076158A" w:rsidP="00185A28">
      <w:pPr>
        <w:jc w:val="both"/>
        <w:rPr>
          <w:rFonts w:eastAsiaTheme="minorHAnsi"/>
          <w:color w:val="000000"/>
          <w:lang w:eastAsia="en-US"/>
        </w:rPr>
      </w:pPr>
    </w:p>
    <w:p w:rsidR="0066459C" w:rsidRPr="00185A28" w:rsidRDefault="0066459C" w:rsidP="00185A28">
      <w:pPr>
        <w:jc w:val="both"/>
        <w:rPr>
          <w:rFonts w:eastAsiaTheme="minorHAnsi"/>
          <w:color w:val="000000"/>
          <w:lang w:eastAsia="en-US"/>
        </w:rPr>
      </w:pPr>
    </w:p>
    <w:p w:rsidR="0066459C" w:rsidRPr="00185A28" w:rsidRDefault="0066459C" w:rsidP="00185A28">
      <w:pPr>
        <w:pStyle w:val="Odlomakpopisa"/>
        <w:numPr>
          <w:ilvl w:val="1"/>
          <w:numId w:val="2"/>
        </w:numPr>
        <w:jc w:val="both"/>
        <w:rPr>
          <w:rFonts w:eastAsiaTheme="minorHAnsi"/>
          <w:b/>
          <w:color w:val="000000"/>
          <w:lang w:eastAsia="en-US"/>
        </w:rPr>
      </w:pPr>
      <w:r w:rsidRPr="00185A28">
        <w:rPr>
          <w:rFonts w:eastAsiaTheme="minorHAnsi"/>
          <w:b/>
          <w:color w:val="000000"/>
          <w:lang w:eastAsia="en-US"/>
        </w:rPr>
        <w:t xml:space="preserve"> Primjena načela transparentnosti</w:t>
      </w:r>
    </w:p>
    <w:p w:rsidR="0076158A" w:rsidRPr="00185A28" w:rsidRDefault="0076158A" w:rsidP="00185A28">
      <w:pPr>
        <w:jc w:val="both"/>
        <w:rPr>
          <w:rFonts w:eastAsiaTheme="minorHAnsi"/>
          <w:color w:val="000000"/>
          <w:lang w:eastAsia="en-US"/>
        </w:rPr>
      </w:pPr>
    </w:p>
    <w:p w:rsidR="0066459C" w:rsidRPr="00185A28" w:rsidRDefault="0066459C" w:rsidP="00185A28">
      <w:pPr>
        <w:jc w:val="both"/>
      </w:pPr>
      <w:r w:rsidRPr="00185A28">
        <w:t>Da bi se osiguralo ostvarenje načela transparentnosti i slobodan pristup informacijama kao i njihovo povezivanje, preuzimanje i ponovno korištenje, preporučuje se da se svi navedeni materijali vezani uz proračun i njegove izmjene objavljuju u formatu pogodnom za daljnju obradu (</w:t>
      </w:r>
      <w:proofErr w:type="spellStart"/>
      <w:r w:rsidRPr="00185A28">
        <w:t>word</w:t>
      </w:r>
      <w:proofErr w:type="spellEnd"/>
      <w:r w:rsidRPr="00185A28">
        <w:t xml:space="preserve"> i </w:t>
      </w:r>
      <w:proofErr w:type="spellStart"/>
      <w:r w:rsidRPr="00185A28">
        <w:t>excel</w:t>
      </w:r>
      <w:proofErr w:type="spellEnd"/>
      <w:r w:rsidRPr="00185A28">
        <w:t>).</w:t>
      </w:r>
    </w:p>
    <w:p w:rsidR="0066459C" w:rsidRPr="00185A28" w:rsidRDefault="0066459C" w:rsidP="00185A28">
      <w:pPr>
        <w:jc w:val="both"/>
      </w:pPr>
    </w:p>
    <w:p w:rsidR="0066459C" w:rsidRDefault="0066459C" w:rsidP="00185A28">
      <w:pPr>
        <w:jc w:val="both"/>
      </w:pPr>
    </w:p>
    <w:p w:rsidR="00BF195A" w:rsidRDefault="00BF195A" w:rsidP="00185A28">
      <w:pPr>
        <w:jc w:val="both"/>
      </w:pPr>
    </w:p>
    <w:p w:rsidR="00BF195A" w:rsidRPr="00185A28" w:rsidRDefault="00BF195A" w:rsidP="00185A28">
      <w:pPr>
        <w:jc w:val="both"/>
      </w:pPr>
    </w:p>
    <w:p w:rsidR="0066459C" w:rsidRPr="00185A28" w:rsidRDefault="0066459C" w:rsidP="00185A28">
      <w:pPr>
        <w:pStyle w:val="Odlomakpopisa"/>
        <w:numPr>
          <w:ilvl w:val="1"/>
          <w:numId w:val="2"/>
        </w:numPr>
        <w:jc w:val="both"/>
        <w:rPr>
          <w:b/>
        </w:rPr>
      </w:pPr>
      <w:r w:rsidRPr="00185A28">
        <w:rPr>
          <w:b/>
        </w:rPr>
        <w:lastRenderedPageBreak/>
        <w:t xml:space="preserve"> Zaduživanje i davanje jamstava i suglasnosti</w:t>
      </w:r>
    </w:p>
    <w:p w:rsidR="0066459C" w:rsidRPr="00185A28" w:rsidRDefault="0066459C" w:rsidP="00185A28">
      <w:pPr>
        <w:jc w:val="both"/>
        <w:rPr>
          <w:b/>
        </w:rPr>
      </w:pPr>
    </w:p>
    <w:p w:rsidR="0066459C" w:rsidRPr="00185A28" w:rsidRDefault="0066459C" w:rsidP="00185A28">
      <w:pPr>
        <w:jc w:val="both"/>
      </w:pPr>
      <w:r w:rsidRPr="00185A28">
        <w:t xml:space="preserve">Zakonom o proračunu i Pravilnikom o postupku zaduživanja te davanja jamstava i suglasnosti jedinica lokalne i područne (regionalne) samouprave (Narodne novine, br. 55/09 i 139/10) propisan je postupak davanja suglasnosti za zaduživanje jedinica lokalne i područne (regionalne) samouprave (dalje u tekstu: općina, grad, županija), davanja jamstva županije i davanja suglasnosti općine, grada i županije, obvezni sastojci zahtjeva, obvezni prilozi i dokumentacija, te način izvještavanja o zaduživanju, danim jamstvima i suglasnostima. </w:t>
      </w:r>
    </w:p>
    <w:p w:rsidR="0066459C" w:rsidRPr="00185A28" w:rsidRDefault="0066459C" w:rsidP="00185A28">
      <w:pPr>
        <w:jc w:val="both"/>
      </w:pPr>
    </w:p>
    <w:p w:rsidR="0066459C" w:rsidRPr="00185A28" w:rsidRDefault="0066459C" w:rsidP="00185A28">
      <w:pPr>
        <w:jc w:val="both"/>
        <w:rPr>
          <w:b/>
        </w:rPr>
      </w:pPr>
      <w:r w:rsidRPr="00185A28">
        <w:t>Zakonom o proračunu propisana je obveza i rok dostave ugovora o zaduženju te izvješća o zaduženju, danim jamstvima i suglasnostima putem Obrasca IZJS Ministarstvu financija. Skenirani ugovori i Obrasci IZJS (potpis župana/gradonačelnika/načelnika i pečat) dostavljaju se na e-mail adresu Ministarstva financija (</w:t>
      </w:r>
      <w:proofErr w:type="spellStart"/>
      <w:r w:rsidRPr="00185A28">
        <w:t>lokalni.proracuni</w:t>
      </w:r>
      <w:proofErr w:type="spellEnd"/>
      <w:r w:rsidRPr="00185A28">
        <w:t>@</w:t>
      </w:r>
      <w:proofErr w:type="spellStart"/>
      <w:r w:rsidRPr="00185A28">
        <w:t>mfin.hr</w:t>
      </w:r>
      <w:proofErr w:type="spellEnd"/>
      <w:r w:rsidRPr="00185A28">
        <w:t>) u propisanom roku.</w:t>
      </w:r>
    </w:p>
    <w:p w:rsidR="0066459C" w:rsidRPr="00185A28" w:rsidRDefault="0066459C" w:rsidP="00185A28">
      <w:pPr>
        <w:jc w:val="both"/>
      </w:pPr>
    </w:p>
    <w:p w:rsidR="0009304F" w:rsidRPr="00185A28" w:rsidRDefault="0009304F" w:rsidP="00185A28">
      <w:pPr>
        <w:jc w:val="both"/>
      </w:pPr>
    </w:p>
    <w:p w:rsidR="0009304F" w:rsidRPr="00185A28" w:rsidRDefault="0009304F" w:rsidP="00185A28">
      <w:pPr>
        <w:pStyle w:val="Odlomakpopisa"/>
        <w:numPr>
          <w:ilvl w:val="1"/>
          <w:numId w:val="2"/>
        </w:numPr>
        <w:jc w:val="both"/>
        <w:rPr>
          <w:b/>
        </w:rPr>
      </w:pPr>
      <w:r w:rsidRPr="00185A28">
        <w:rPr>
          <w:b/>
        </w:rPr>
        <w:t xml:space="preserve"> Procjena prihoda i </w:t>
      </w:r>
      <w:r w:rsidR="004A6464" w:rsidRPr="00185A28">
        <w:rPr>
          <w:b/>
        </w:rPr>
        <w:t>rashoda te primitaka i izdataka</w:t>
      </w:r>
    </w:p>
    <w:p w:rsidR="0009304F" w:rsidRPr="00185A28" w:rsidRDefault="0009304F" w:rsidP="00185A28">
      <w:pPr>
        <w:jc w:val="both"/>
        <w:rPr>
          <w:b/>
        </w:rPr>
      </w:pPr>
    </w:p>
    <w:p w:rsidR="0009304F" w:rsidRPr="00185A28" w:rsidRDefault="0009304F" w:rsidP="00185A28">
      <w:pPr>
        <w:jc w:val="both"/>
      </w:pPr>
      <w:r w:rsidRPr="00185A28">
        <w:t xml:space="preserve">Prihodi jedinica lokalne i područne (regionalne) samouprave planiraju se na temelju istih makroekonomskih pretpostavki kao i kod prihoda državnog proračuna, u skladu s trenutnim kretanjima i makroekonomskim projekcijama za spomenuto razdoblje. </w:t>
      </w:r>
    </w:p>
    <w:p w:rsidR="0009304F" w:rsidRPr="00185A28" w:rsidRDefault="0009304F" w:rsidP="00185A28">
      <w:pPr>
        <w:jc w:val="both"/>
      </w:pPr>
    </w:p>
    <w:p w:rsidR="0009304F" w:rsidRPr="00185A28" w:rsidRDefault="0009304F" w:rsidP="00185A28">
      <w:pPr>
        <w:jc w:val="both"/>
      </w:pPr>
      <w:r w:rsidRPr="00185A28">
        <w:t>Očekuje se da će u naredne tri godine prihodi od poreza</w:t>
      </w:r>
      <w:r w:rsidR="00236206" w:rsidRPr="00185A28">
        <w:t xml:space="preserve"> na dohodak</w:t>
      </w:r>
      <w:r w:rsidRPr="00185A28">
        <w:t xml:space="preserve">, kao i prihodi od imovine </w:t>
      </w:r>
      <w:r w:rsidR="00236206" w:rsidRPr="00185A28">
        <w:t>kao jedni od najznačajnijih prihoda JLP(R)S</w:t>
      </w:r>
      <w:r w:rsidR="004A24DA" w:rsidRPr="00185A28">
        <w:t xml:space="preserve"> </w:t>
      </w:r>
      <w:r w:rsidRPr="00185A28">
        <w:t xml:space="preserve">biti na razini Proračuna Općine </w:t>
      </w:r>
      <w:r w:rsidR="001A3FD3" w:rsidRPr="00185A28">
        <w:t>Privlaka</w:t>
      </w:r>
      <w:r w:rsidRPr="00185A28">
        <w:t xml:space="preserve"> za 201</w:t>
      </w:r>
      <w:r w:rsidR="001A3FD3" w:rsidRPr="00185A28">
        <w:t>8. godinu</w:t>
      </w:r>
      <w:r w:rsidRPr="00185A28">
        <w:t xml:space="preserve">. Pomoći iz inozemstva i od subjekata unutra općeg proračuna očekuju se u puno većem iznosu u narednom trogodišnjem razdoblju s obzirom da je Općina </w:t>
      </w:r>
      <w:r w:rsidR="001A3FD3" w:rsidRPr="00185A28">
        <w:t>Privlaka</w:t>
      </w:r>
      <w:r w:rsidRPr="00185A28">
        <w:t xml:space="preserve"> aplicirala za sredstva iz fondova Europske unije</w:t>
      </w:r>
      <w:r w:rsidR="00597AFB">
        <w:t xml:space="preserve">, te je također planirano kreditno zaduživanje kako bi se mogao ostvariti planirani projekt izgradnje Dječjeg vrtića. </w:t>
      </w:r>
      <w:r w:rsidRPr="00185A28">
        <w:t>Prihodi od upravnih i administrativnih pristojbi, pristojbi po posebnim propisima i naknada postupno će se u narednom razdoblju smanjivati s obzirom da je proces legalizacije nezakonito izgrađenih stambenih zgrada pri kraju, stoga se očekuje znatno smanjenje prihoda od komunalnog doprinosa</w:t>
      </w:r>
      <w:r w:rsidR="001A3FD3" w:rsidRPr="00185A28">
        <w:t>.</w:t>
      </w:r>
    </w:p>
    <w:p w:rsidR="001A3FD3" w:rsidRPr="00185A28" w:rsidRDefault="001A3FD3" w:rsidP="00185A28">
      <w:pPr>
        <w:jc w:val="both"/>
      </w:pPr>
    </w:p>
    <w:p w:rsidR="006650D2" w:rsidRDefault="004A6464" w:rsidP="00185A28">
      <w:pPr>
        <w:jc w:val="both"/>
      </w:pPr>
      <w:r w:rsidRPr="00185A28">
        <w:t>Pri</w:t>
      </w:r>
      <w:r w:rsidR="0009304F" w:rsidRPr="00185A28">
        <w:t xml:space="preserve"> izradi proračuna jedinica lokalne i područne (regionalne) samouprave, uz smjernice kretanja prihoda i rashoda, svaka jedinica samouprave izrađuje plan rashoda uzimajući u obzir vlastite gospodarske i društvene specifičnosti te pridržavajući se Zakona o proračunu i Zakona o fiskalnoj odgovornosti. Uz ostale redovite rashode i izdatke, nastavit će se realizacija planiranih i započetih projekata kroz naredne godine</w:t>
      </w:r>
      <w:r w:rsidRPr="00185A28">
        <w:t>.</w:t>
      </w:r>
    </w:p>
    <w:p w:rsidR="006650D2" w:rsidRDefault="006650D2" w:rsidP="00185A28">
      <w:pPr>
        <w:jc w:val="both"/>
      </w:pPr>
    </w:p>
    <w:p w:rsidR="006650D2" w:rsidRPr="00185A28" w:rsidRDefault="006650D2" w:rsidP="00185A28">
      <w:pPr>
        <w:jc w:val="both"/>
      </w:pPr>
    </w:p>
    <w:p w:rsidR="004A6464" w:rsidRPr="00185A28" w:rsidRDefault="004A6464" w:rsidP="00185A28">
      <w:pPr>
        <w:pStyle w:val="Odlomakpopisa"/>
        <w:numPr>
          <w:ilvl w:val="1"/>
          <w:numId w:val="2"/>
        </w:numPr>
        <w:jc w:val="both"/>
        <w:rPr>
          <w:b/>
        </w:rPr>
      </w:pPr>
      <w:r w:rsidRPr="00185A28">
        <w:rPr>
          <w:b/>
        </w:rPr>
        <w:t xml:space="preserve"> </w:t>
      </w:r>
      <w:r w:rsidR="00BB01E7" w:rsidRPr="00185A28">
        <w:rPr>
          <w:b/>
        </w:rPr>
        <w:t>Opis planiranih politika</w:t>
      </w:r>
      <w:r w:rsidRPr="00185A28">
        <w:rPr>
          <w:b/>
        </w:rPr>
        <w:t xml:space="preserve"> </w:t>
      </w:r>
      <w:r w:rsidR="00BB01E7" w:rsidRPr="00185A28">
        <w:rPr>
          <w:b/>
        </w:rPr>
        <w:t>općine</w:t>
      </w:r>
      <w:r w:rsidRPr="00185A28">
        <w:rPr>
          <w:b/>
        </w:rPr>
        <w:t xml:space="preserve"> </w:t>
      </w:r>
    </w:p>
    <w:p w:rsidR="004A6464" w:rsidRPr="00185A28" w:rsidRDefault="004A6464" w:rsidP="00185A28">
      <w:pPr>
        <w:jc w:val="both"/>
      </w:pPr>
    </w:p>
    <w:p w:rsidR="004A6464" w:rsidRPr="00185A28" w:rsidRDefault="004A6464" w:rsidP="00185A28">
      <w:pPr>
        <w:jc w:val="both"/>
      </w:pPr>
      <w:r w:rsidRPr="00185A28">
        <w:t xml:space="preserve">Osnovni ciljevi u provođenju politike Općine Privlaka u narednom razdoblju biti će ulaganje napora </w:t>
      </w:r>
      <w:r w:rsidR="00AB5C04" w:rsidRPr="00185A28">
        <w:t xml:space="preserve">za razvoj cjelokupnog područja kao i </w:t>
      </w:r>
      <w:r w:rsidRPr="00185A28">
        <w:t xml:space="preserve">za </w:t>
      </w:r>
      <w:r w:rsidR="00E83E6E" w:rsidRPr="00185A28">
        <w:t>porast</w:t>
      </w:r>
      <w:r w:rsidRPr="00185A28">
        <w:t xml:space="preserve"> životnog standarda </w:t>
      </w:r>
      <w:r w:rsidR="00E83E6E" w:rsidRPr="00185A28">
        <w:t>stanovništva</w:t>
      </w:r>
      <w:r w:rsidRPr="00185A28">
        <w:t xml:space="preserve">, </w:t>
      </w:r>
      <w:r w:rsidR="00E83E6E" w:rsidRPr="00185A28">
        <w:t xml:space="preserve">koliko god to opće prilike budu </w:t>
      </w:r>
      <w:r w:rsidRPr="00185A28">
        <w:t xml:space="preserve">dozvoljavale, a naročito: </w:t>
      </w:r>
    </w:p>
    <w:p w:rsidR="004A6464" w:rsidRPr="00185A28" w:rsidRDefault="004A6464" w:rsidP="00185A28">
      <w:pPr>
        <w:jc w:val="both"/>
      </w:pPr>
      <w:r w:rsidRPr="00185A28">
        <w:t>-  trajno poticanje malog i srednjeg poduzetništva i razvoj poslovnih zona;</w:t>
      </w:r>
    </w:p>
    <w:p w:rsidR="004A6464" w:rsidRPr="00185A28" w:rsidRDefault="004A6464" w:rsidP="00185A28">
      <w:pPr>
        <w:jc w:val="both"/>
      </w:pPr>
      <w:r w:rsidRPr="00185A28">
        <w:t>-  održavanje postignute kvalitete sveukupne komunalne infrastrukture;</w:t>
      </w:r>
    </w:p>
    <w:p w:rsidR="004A6464" w:rsidRPr="00185A28" w:rsidRDefault="004A6464" w:rsidP="00185A28">
      <w:pPr>
        <w:jc w:val="both"/>
      </w:pPr>
      <w:r w:rsidRPr="00185A28">
        <w:t>-  briga o zdravlju i socijalnoj sigurnosti;</w:t>
      </w:r>
    </w:p>
    <w:p w:rsidR="00E83E6E" w:rsidRPr="00185A28" w:rsidRDefault="004A6464" w:rsidP="00185A28">
      <w:pPr>
        <w:jc w:val="both"/>
      </w:pPr>
      <w:r w:rsidRPr="00185A28">
        <w:t xml:space="preserve">-  promoviranje i poticanje </w:t>
      </w:r>
      <w:r w:rsidR="00E83E6E" w:rsidRPr="00185A28">
        <w:t>kulture</w:t>
      </w:r>
      <w:r w:rsidRPr="00185A28">
        <w:t xml:space="preserve">, </w:t>
      </w:r>
      <w:r w:rsidR="00E83E6E" w:rsidRPr="00185A28">
        <w:t>sporta, vatrogastva i drugih društvenih aktivnosti;</w:t>
      </w:r>
    </w:p>
    <w:p w:rsidR="004A6464" w:rsidRPr="00185A28" w:rsidRDefault="00E83E6E" w:rsidP="00185A28">
      <w:pPr>
        <w:jc w:val="both"/>
      </w:pPr>
      <w:r w:rsidRPr="00185A28">
        <w:t xml:space="preserve">- </w:t>
      </w:r>
      <w:r w:rsidR="004A6464" w:rsidRPr="00185A28">
        <w:t xml:space="preserve"> očuvanje i obnova </w:t>
      </w:r>
      <w:r w:rsidRPr="00185A28">
        <w:t>kulturne</w:t>
      </w:r>
      <w:r w:rsidR="004A6464" w:rsidRPr="00185A28">
        <w:t xml:space="preserve"> baštine;</w:t>
      </w:r>
    </w:p>
    <w:p w:rsidR="004A6464" w:rsidRPr="00185A28" w:rsidRDefault="004A6464" w:rsidP="00185A28">
      <w:pPr>
        <w:jc w:val="both"/>
      </w:pPr>
      <w:r w:rsidRPr="00185A28">
        <w:t>-  razvoj turizma i ostalih djelatnosti s tim u vezi;</w:t>
      </w:r>
    </w:p>
    <w:p w:rsidR="004A6464" w:rsidRPr="00185A28" w:rsidRDefault="004A6464" w:rsidP="00185A28">
      <w:pPr>
        <w:jc w:val="both"/>
      </w:pPr>
      <w:r w:rsidRPr="00185A28">
        <w:lastRenderedPageBreak/>
        <w:t>-  funkcionalnost i učinkovitost općinske uprave;</w:t>
      </w:r>
    </w:p>
    <w:p w:rsidR="004A6464" w:rsidRPr="00185A28" w:rsidRDefault="004A6464" w:rsidP="00185A28">
      <w:pPr>
        <w:jc w:val="both"/>
      </w:pPr>
      <w:r w:rsidRPr="00185A28">
        <w:t>-  informatizacija;</w:t>
      </w:r>
    </w:p>
    <w:p w:rsidR="004A6464" w:rsidRPr="00185A28" w:rsidRDefault="004A6464" w:rsidP="00185A28">
      <w:pPr>
        <w:jc w:val="both"/>
      </w:pPr>
      <w:r w:rsidRPr="00185A28">
        <w:t xml:space="preserve"> - upravljanje imovinom.</w:t>
      </w:r>
    </w:p>
    <w:p w:rsidR="00E83E6E" w:rsidRPr="00185A28" w:rsidRDefault="00E83E6E" w:rsidP="00185A28">
      <w:pPr>
        <w:jc w:val="both"/>
      </w:pPr>
    </w:p>
    <w:p w:rsidR="004A6464" w:rsidRDefault="004A6464" w:rsidP="00185A28">
      <w:pPr>
        <w:jc w:val="both"/>
      </w:pPr>
      <w:r w:rsidRPr="006650D2">
        <w:t>Prioriteti Općine Privlaka u 201</w:t>
      </w:r>
      <w:r w:rsidR="006650D2" w:rsidRPr="006650D2">
        <w:t>9</w:t>
      </w:r>
      <w:r w:rsidR="00200BDC">
        <w:t xml:space="preserve">. godini su kapitalna ulaganja: gradnja Dječjeg vrtića i </w:t>
      </w:r>
      <w:r w:rsidR="006650D2">
        <w:t>rekonstrukcija zgrade „Staračkog“</w:t>
      </w:r>
      <w:r w:rsidR="00200BDC">
        <w:t>, te sanacija obalnog pojasa od štete uzrokovane elementarnom nepogodom.</w:t>
      </w:r>
    </w:p>
    <w:p w:rsidR="004A6464" w:rsidRPr="00185A28" w:rsidRDefault="004A6464" w:rsidP="00185A28">
      <w:pPr>
        <w:jc w:val="both"/>
      </w:pPr>
    </w:p>
    <w:p w:rsidR="00345A7B" w:rsidRPr="00185A28" w:rsidRDefault="00345A7B" w:rsidP="00185A28">
      <w:pPr>
        <w:jc w:val="both"/>
      </w:pPr>
    </w:p>
    <w:p w:rsidR="00345A7B" w:rsidRPr="00185A28" w:rsidRDefault="00345A7B" w:rsidP="00185A28">
      <w:pPr>
        <w:pStyle w:val="Odlomakpopisa"/>
        <w:numPr>
          <w:ilvl w:val="0"/>
          <w:numId w:val="2"/>
        </w:numPr>
        <w:ind w:left="426"/>
        <w:jc w:val="both"/>
        <w:rPr>
          <w:b/>
          <w:bCs/>
        </w:rPr>
      </w:pPr>
      <w:r w:rsidRPr="00185A28">
        <w:rPr>
          <w:b/>
          <w:bCs/>
        </w:rPr>
        <w:t xml:space="preserve">METODOLOGIJA ZA IZRADU PRIJEDLOGA </w:t>
      </w:r>
      <w:r w:rsidR="000602BA" w:rsidRPr="00185A28">
        <w:rPr>
          <w:b/>
          <w:bCs/>
        </w:rPr>
        <w:t xml:space="preserve"> PRORAČUNA I </w:t>
      </w:r>
      <w:r w:rsidR="00E17E76" w:rsidRPr="00185A28">
        <w:rPr>
          <w:b/>
          <w:bCs/>
        </w:rPr>
        <w:t xml:space="preserve">FINANCIJSKOG PLANA  </w:t>
      </w:r>
      <w:r w:rsidRPr="00185A28">
        <w:rPr>
          <w:b/>
          <w:bCs/>
        </w:rPr>
        <w:t>PRORAČU</w:t>
      </w:r>
      <w:r w:rsidR="00E17E76" w:rsidRPr="00185A28">
        <w:rPr>
          <w:b/>
          <w:bCs/>
        </w:rPr>
        <w:t>NSKOG KORISNIKA OPĆINE PRIVLAKA</w:t>
      </w:r>
    </w:p>
    <w:p w:rsidR="00345A7B" w:rsidRDefault="00345A7B" w:rsidP="00185A28">
      <w:pPr>
        <w:jc w:val="both"/>
        <w:rPr>
          <w:b/>
          <w:bCs/>
        </w:rPr>
      </w:pPr>
    </w:p>
    <w:p w:rsidR="00BF195A" w:rsidRPr="00185A28" w:rsidRDefault="00BF195A" w:rsidP="00185A28">
      <w:pPr>
        <w:jc w:val="both"/>
      </w:pPr>
    </w:p>
    <w:p w:rsidR="00345A7B" w:rsidRPr="00185A28" w:rsidRDefault="000602BA" w:rsidP="00185A28">
      <w:pPr>
        <w:jc w:val="both"/>
        <w:rPr>
          <w:bCs/>
        </w:rPr>
      </w:pPr>
      <w:r w:rsidRPr="00185A28">
        <w:rPr>
          <w:bCs/>
        </w:rPr>
        <w:t xml:space="preserve">Općina Privlaka ima samo jednog proračunskog korisnika i to Dječji vrtić </w:t>
      </w:r>
      <w:proofErr w:type="spellStart"/>
      <w:r w:rsidRPr="00185A28">
        <w:rPr>
          <w:bCs/>
        </w:rPr>
        <w:t>Sabunić</w:t>
      </w:r>
      <w:proofErr w:type="spellEnd"/>
      <w:r w:rsidRPr="00185A28">
        <w:rPr>
          <w:bCs/>
        </w:rPr>
        <w:t xml:space="preserve"> koji je u nadležnosti Jedinstvenog upravnog odjela općine Privlaka.</w:t>
      </w:r>
    </w:p>
    <w:p w:rsidR="00345A7B" w:rsidRPr="00185A28" w:rsidRDefault="00345A7B" w:rsidP="00185A28">
      <w:pPr>
        <w:jc w:val="both"/>
        <w:rPr>
          <w:bCs/>
        </w:rPr>
      </w:pPr>
      <w:r w:rsidRPr="00185A28">
        <w:rPr>
          <w:bCs/>
        </w:rPr>
        <w:t xml:space="preserve">Proračunski korisnik obvezan je izraditi financijski plan u skladu s odredbama Zakona o proračunu, Pravilnika o proračunskim klasifikacijama (Narodne novine, </w:t>
      </w:r>
      <w:proofErr w:type="spellStart"/>
      <w:r w:rsidRPr="00185A28">
        <w:rPr>
          <w:bCs/>
        </w:rPr>
        <w:t>br</w:t>
      </w:r>
      <w:proofErr w:type="spellEnd"/>
      <w:r w:rsidRPr="00185A28">
        <w:rPr>
          <w:bCs/>
        </w:rPr>
        <w:t>, 26/10 i 120/13) i Pravilnika o proračunskom računovodstvu i Računskom planu (Narodne novine, br. 124/14, 115/15 i 87/16</w:t>
      </w:r>
      <w:r w:rsidR="00E17E76" w:rsidRPr="00185A28">
        <w:rPr>
          <w:bCs/>
        </w:rPr>
        <w:t xml:space="preserve"> i 3/18</w:t>
      </w:r>
      <w:r w:rsidRPr="00185A28">
        <w:rPr>
          <w:bCs/>
        </w:rPr>
        <w:t>)</w:t>
      </w:r>
      <w:r w:rsidR="00E17E76" w:rsidRPr="00185A28">
        <w:rPr>
          <w:bCs/>
        </w:rPr>
        <w:t xml:space="preserve"> </w:t>
      </w:r>
      <w:r w:rsidRPr="00185A28">
        <w:rPr>
          <w:bCs/>
        </w:rPr>
        <w:t xml:space="preserve"> te se pridržavati ovih uputa.</w:t>
      </w:r>
    </w:p>
    <w:p w:rsidR="00E17E76" w:rsidRPr="00185A28" w:rsidRDefault="00E17E76" w:rsidP="00185A28">
      <w:pPr>
        <w:jc w:val="both"/>
        <w:rPr>
          <w:bCs/>
        </w:rPr>
      </w:pPr>
    </w:p>
    <w:p w:rsidR="00E17E76" w:rsidRPr="00185A28" w:rsidRDefault="00E17E76" w:rsidP="00185A28">
      <w:pPr>
        <w:suppressAutoHyphens w:val="0"/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 xml:space="preserve">Proračunski </w:t>
      </w:r>
      <w:r w:rsidR="00EA6E45" w:rsidRPr="00185A28">
        <w:rPr>
          <w:rFonts w:eastAsiaTheme="minorHAnsi"/>
          <w:color w:val="000000"/>
          <w:lang w:eastAsia="en-US"/>
        </w:rPr>
        <w:t xml:space="preserve">korisnik </w:t>
      </w:r>
      <w:r w:rsidRPr="00185A28">
        <w:rPr>
          <w:rFonts w:eastAsiaTheme="minorHAnsi"/>
          <w:color w:val="000000"/>
          <w:lang w:eastAsia="en-US"/>
        </w:rPr>
        <w:t xml:space="preserve">svoj financijski plan dostavlja nadležnom </w:t>
      </w:r>
      <w:r w:rsidR="007563CD" w:rsidRPr="00185A28">
        <w:rPr>
          <w:rFonts w:eastAsiaTheme="minorHAnsi"/>
          <w:color w:val="000000"/>
          <w:lang w:eastAsia="en-US"/>
        </w:rPr>
        <w:t xml:space="preserve">Jedinstvenom </w:t>
      </w:r>
      <w:r w:rsidRPr="00185A28">
        <w:rPr>
          <w:rFonts w:eastAsiaTheme="minorHAnsi"/>
          <w:color w:val="000000"/>
          <w:lang w:eastAsia="en-US"/>
        </w:rPr>
        <w:t xml:space="preserve">upravnom </w:t>
      </w:r>
      <w:r w:rsidR="007563CD" w:rsidRPr="00185A28">
        <w:rPr>
          <w:rFonts w:eastAsiaTheme="minorHAnsi"/>
          <w:color w:val="000000"/>
          <w:lang w:eastAsia="en-US"/>
        </w:rPr>
        <w:t>odjelu općine Privlaka</w:t>
      </w:r>
      <w:r w:rsidRPr="00185A28">
        <w:rPr>
          <w:rFonts w:eastAsiaTheme="minorHAnsi"/>
          <w:color w:val="000000"/>
          <w:lang w:eastAsia="en-US"/>
        </w:rPr>
        <w:t>. Proračunski korisni</w:t>
      </w:r>
      <w:r w:rsidR="00EA6E45" w:rsidRPr="00185A28">
        <w:rPr>
          <w:rFonts w:eastAsiaTheme="minorHAnsi"/>
          <w:color w:val="000000"/>
          <w:lang w:eastAsia="en-US"/>
        </w:rPr>
        <w:t>k u financijskom planu treba</w:t>
      </w:r>
      <w:r w:rsidRPr="00185A28">
        <w:rPr>
          <w:rFonts w:eastAsiaTheme="minorHAnsi"/>
          <w:color w:val="000000"/>
          <w:lang w:eastAsia="en-US"/>
        </w:rPr>
        <w:t xml:space="preserve"> iskazati sve svoje prihode i rashode bez obzira na moguće uplate dijela prihoda korisnika u proračun jedinice lokalne i područne </w:t>
      </w:r>
      <w:r w:rsidRPr="00185A28">
        <w:t>(regionalne) samouprave ili podmirivanje dijela rashoda korisnika izravno s računa proračuna.</w:t>
      </w:r>
    </w:p>
    <w:p w:rsidR="007563CD" w:rsidRPr="00185A28" w:rsidRDefault="007563CD" w:rsidP="00185A28">
      <w:pPr>
        <w:jc w:val="both"/>
        <w:rPr>
          <w:bCs/>
        </w:rPr>
      </w:pPr>
    </w:p>
    <w:p w:rsidR="007563CD" w:rsidRPr="00185A28" w:rsidRDefault="007563CD" w:rsidP="00185A28">
      <w:pPr>
        <w:suppressAutoHyphens w:val="0"/>
        <w:autoSpaceDE w:val="0"/>
        <w:adjustRightInd w:val="0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>Prijedlog financijskog plana proračunsk</w:t>
      </w:r>
      <w:r w:rsidR="001248F6" w:rsidRPr="00185A28">
        <w:rPr>
          <w:rFonts w:eastAsiaTheme="minorHAnsi"/>
          <w:color w:val="000000"/>
          <w:lang w:eastAsia="en-US"/>
        </w:rPr>
        <w:t xml:space="preserve">og korisnika </w:t>
      </w:r>
      <w:r w:rsidRPr="00185A28">
        <w:rPr>
          <w:rFonts w:eastAsiaTheme="minorHAnsi"/>
          <w:color w:val="000000"/>
          <w:lang w:eastAsia="en-US"/>
        </w:rPr>
        <w:t xml:space="preserve">za razdoblje 2019. - 2021. u skladu s odredbama Zakona o proračunu sadrži: </w:t>
      </w:r>
    </w:p>
    <w:p w:rsidR="007563CD" w:rsidRPr="00185A28" w:rsidRDefault="001248F6" w:rsidP="00185A28">
      <w:pPr>
        <w:suppressAutoHyphens w:val="0"/>
        <w:autoSpaceDE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 xml:space="preserve">- </w:t>
      </w:r>
      <w:r w:rsidR="007563CD" w:rsidRPr="00185A28">
        <w:rPr>
          <w:rFonts w:eastAsiaTheme="minorHAnsi"/>
          <w:color w:val="000000"/>
          <w:lang w:eastAsia="en-US"/>
        </w:rPr>
        <w:t xml:space="preserve">procjene prihoda i primitaka iskazane po vrstama za razdoblje 2019. - 2021., </w:t>
      </w:r>
    </w:p>
    <w:p w:rsidR="007563CD" w:rsidRPr="00185A28" w:rsidRDefault="001248F6" w:rsidP="00185A28">
      <w:pPr>
        <w:suppressAutoHyphens w:val="0"/>
        <w:autoSpaceDE w:val="0"/>
        <w:adjustRightInd w:val="0"/>
        <w:ind w:left="708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 xml:space="preserve">- </w:t>
      </w:r>
      <w:r w:rsidR="007563CD" w:rsidRPr="00185A28">
        <w:rPr>
          <w:rFonts w:eastAsiaTheme="minorHAnsi"/>
          <w:color w:val="000000"/>
          <w:lang w:eastAsia="en-US"/>
        </w:rPr>
        <w:t xml:space="preserve">plan rashoda i izdataka za razdoblje 2019. - 2021., razvrstane prema proračunskim klasifikacijama i </w:t>
      </w:r>
    </w:p>
    <w:p w:rsidR="007563CD" w:rsidRPr="00185A28" w:rsidRDefault="001248F6" w:rsidP="00185A28">
      <w:pPr>
        <w:suppressAutoHyphens w:val="0"/>
        <w:autoSpaceDE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185A28">
        <w:rPr>
          <w:rFonts w:eastAsiaTheme="minorHAnsi"/>
          <w:color w:val="000000"/>
          <w:lang w:eastAsia="en-US"/>
        </w:rPr>
        <w:t xml:space="preserve">- </w:t>
      </w:r>
      <w:r w:rsidR="007563CD" w:rsidRPr="00185A28">
        <w:rPr>
          <w:rFonts w:eastAsiaTheme="minorHAnsi"/>
          <w:color w:val="000000"/>
          <w:lang w:eastAsia="en-US"/>
        </w:rPr>
        <w:t xml:space="preserve">obrazloženje prijedloga financijskog plana. </w:t>
      </w:r>
    </w:p>
    <w:p w:rsidR="001248F6" w:rsidRPr="00185A28" w:rsidRDefault="001248F6" w:rsidP="00185A28">
      <w:pPr>
        <w:jc w:val="both"/>
        <w:rPr>
          <w:rFonts w:eastAsiaTheme="minorHAnsi"/>
          <w:color w:val="000000"/>
          <w:lang w:eastAsia="en-US"/>
        </w:rPr>
      </w:pPr>
    </w:p>
    <w:p w:rsidR="001248F6" w:rsidRPr="00185A28" w:rsidRDefault="001248F6" w:rsidP="00185A28">
      <w:pPr>
        <w:jc w:val="both"/>
      </w:pPr>
      <w:r w:rsidRPr="00185A28">
        <w:t xml:space="preserve">Proračunski korisnik obvezan je izraditi procjenu prihoda i primitaka za razdoblje 2019. – 2021. godine po izvorima financiranja. </w:t>
      </w:r>
      <w:r w:rsidRPr="00185A28">
        <w:rPr>
          <w:bCs/>
        </w:rPr>
        <w:t>Izvori financiranja predstavljaju skupine prihoda i primitaka iz kojih se podmiruju rashodi i izdaci određene vrste i utvrđene namjene.</w:t>
      </w:r>
    </w:p>
    <w:p w:rsidR="001248F6" w:rsidRPr="00185A28" w:rsidRDefault="001248F6" w:rsidP="00185A28">
      <w:pPr>
        <w:jc w:val="both"/>
        <w:rPr>
          <w:rFonts w:eastAsiaTheme="minorHAnsi"/>
          <w:color w:val="000000"/>
          <w:lang w:eastAsia="en-US"/>
        </w:rPr>
      </w:pPr>
    </w:p>
    <w:p w:rsidR="00EF6F13" w:rsidRPr="00185A28" w:rsidRDefault="00EF6F13" w:rsidP="00185A28">
      <w:pPr>
        <w:jc w:val="both"/>
      </w:pPr>
      <w:r w:rsidRPr="00185A28">
        <w:t>Proračunski korisnik financijski plan za 2019. g. planira i dostavlja nadležnom Jedinstvenom pravnom odjelu Općine Privlaka na razini odjeljka (četvrta razina računskog plana), a usvajaju ga na razini podskupine  (treća razina računskog plana), a projekcije za 2010. i 2021. godinu na razini skupine (druga razina računskog plana).</w:t>
      </w:r>
    </w:p>
    <w:p w:rsidR="00345A7B" w:rsidRPr="00185A28" w:rsidRDefault="00345A7B" w:rsidP="00185A28">
      <w:pPr>
        <w:jc w:val="both"/>
      </w:pPr>
    </w:p>
    <w:p w:rsidR="00C96B80" w:rsidRPr="00185A28" w:rsidRDefault="00C96B80" w:rsidP="00185A28">
      <w:pPr>
        <w:jc w:val="both"/>
      </w:pPr>
    </w:p>
    <w:p w:rsidR="00345A7B" w:rsidRPr="00185A28" w:rsidRDefault="00BB01E7" w:rsidP="00185A28">
      <w:pPr>
        <w:pStyle w:val="Odlomakpopisa"/>
        <w:numPr>
          <w:ilvl w:val="1"/>
          <w:numId w:val="2"/>
        </w:numPr>
        <w:jc w:val="both"/>
        <w:rPr>
          <w:b/>
        </w:rPr>
      </w:pPr>
      <w:r w:rsidRPr="00185A28">
        <w:rPr>
          <w:b/>
        </w:rPr>
        <w:t xml:space="preserve"> Planiranje viškova/manjkova iz prethodnih godina u financijskom planu proračunskog korisnika</w:t>
      </w:r>
    </w:p>
    <w:p w:rsidR="00BB01E7" w:rsidRPr="00185A28" w:rsidRDefault="00BB01E7" w:rsidP="00185A28">
      <w:pPr>
        <w:jc w:val="both"/>
        <w:rPr>
          <w:b/>
        </w:rPr>
      </w:pPr>
    </w:p>
    <w:p w:rsidR="00BB01E7" w:rsidRPr="00185A28" w:rsidRDefault="00BB01E7" w:rsidP="00185A28">
      <w:pPr>
        <w:jc w:val="both"/>
      </w:pPr>
      <w:r w:rsidRPr="00185A28">
        <w:t xml:space="preserve">Financijski plan korisnika treba biti uravnotežen. Izuzev prihoda i rashoda potrebno je u plan uključiti i predviđeni manjak, odnosno višak prihoda te i s navedenim bilančnim kategorijama postići uravnoteženje. Financijski plan koji uključuje isključivo plan prihoda i rashoda bez </w:t>
      </w:r>
      <w:r w:rsidRPr="00185A28">
        <w:lastRenderedPageBreak/>
        <w:t xml:space="preserve">rezultata poslovanja ne pruža cjelovit financijski okvir za donošenje odluka o budućoj potrošnji i izvorima financiranja. </w:t>
      </w:r>
    </w:p>
    <w:p w:rsidR="00C96B80" w:rsidRPr="00185A28" w:rsidRDefault="00C96B80" w:rsidP="00185A28">
      <w:pPr>
        <w:jc w:val="both"/>
      </w:pPr>
    </w:p>
    <w:p w:rsidR="00C96B80" w:rsidRPr="00185A28" w:rsidRDefault="00BB01E7" w:rsidP="00185A28">
      <w:pPr>
        <w:jc w:val="both"/>
      </w:pPr>
      <w:r w:rsidRPr="00185A28">
        <w:t xml:space="preserve">Proračunski korisnici koji posluju s manjkom trebaju kroz financijski plan pokazati korekcije pogrešnih odluka iz prošlosti iz kojih su manjkovi proizašli i iznaći načine za njihovo pokriće. Manjkovi se mogu pokriti ili na teret novih izvora financiranja, odnosno rasta prihoda ili smanjenjem ukupne rashodovne strane u visini nastalih manjkova. </w:t>
      </w:r>
    </w:p>
    <w:p w:rsidR="00C96B80" w:rsidRPr="00185A28" w:rsidRDefault="00BB01E7" w:rsidP="00185A28">
      <w:pPr>
        <w:jc w:val="both"/>
      </w:pPr>
      <w:r w:rsidRPr="00185A28">
        <w:t xml:space="preserve">Iznimno, kada proračunski korisnici dođu u situaciju da im preneseni manjak čini značajan dio ukupnog financijskog plana, odnosno da ga s obzirom na projekciju prihoda i stvorene obveze ne mogu realno pokriti u jednoj godini (a da istodobno nastave pružati javnu uslugu zadovoljavajuće kvalitete), moguće je sukcesivno planirati pokriće manjka kroz trogodišnje razdoblje za koje se financijski plan donosi, s tim da nije moguće sav manjak prebaciti na posljednju godinu zadanog trogodišnjeg okvira. </w:t>
      </w:r>
    </w:p>
    <w:p w:rsidR="00C96B80" w:rsidRPr="00185A28" w:rsidRDefault="00BB01E7" w:rsidP="00185A28">
      <w:pPr>
        <w:jc w:val="both"/>
      </w:pPr>
      <w:r w:rsidRPr="00185A28">
        <w:t>Sukcesivno planiranje pokrića manjka moguće je jedino pod uvjetom da se uz financijski plan donese i akt koji će sadržavati:</w:t>
      </w:r>
    </w:p>
    <w:p w:rsidR="00C96B80" w:rsidRPr="00185A28" w:rsidRDefault="00C96B80" w:rsidP="00185A28">
      <w:pPr>
        <w:ind w:firstLine="708"/>
        <w:jc w:val="both"/>
      </w:pPr>
      <w:r w:rsidRPr="00185A28">
        <w:t>-</w:t>
      </w:r>
      <w:r w:rsidR="00BB01E7" w:rsidRPr="00185A28">
        <w:t xml:space="preserve"> analizu i ocjenu postojećeg financijskog stanja institucije, </w:t>
      </w:r>
    </w:p>
    <w:p w:rsidR="00C96B80" w:rsidRPr="00185A28" w:rsidRDefault="00C96B80" w:rsidP="00185A28">
      <w:pPr>
        <w:ind w:firstLine="708"/>
        <w:jc w:val="both"/>
      </w:pPr>
      <w:r w:rsidRPr="00185A28">
        <w:t>-</w:t>
      </w:r>
      <w:r w:rsidR="00BB01E7" w:rsidRPr="00185A28">
        <w:t xml:space="preserve"> prijedlog mjera za otklanjanja utvrđenih uzroka nastanka negativnog poslovanja te mjera za stabilno održivo poslovanje (to je skup mjera za povećanja visine i/ili strukture prihoda, poboljšanje naplate potraživanja, racionalizaciju poslovanja sa ciljem boljeg iskorištenja kapaciteta i snižavanja troškova, nova organizacijska struktura, promjene u razini zapošljavanja i sl.) i </w:t>
      </w:r>
    </w:p>
    <w:p w:rsidR="00C96B80" w:rsidRPr="00185A28" w:rsidRDefault="00C96B80" w:rsidP="00185A28">
      <w:pPr>
        <w:ind w:firstLine="360"/>
        <w:jc w:val="both"/>
      </w:pPr>
      <w:r w:rsidRPr="00185A28">
        <w:t>-</w:t>
      </w:r>
      <w:r w:rsidR="00BB01E7" w:rsidRPr="00185A28">
        <w:t xml:space="preserve"> akcijski plan provedbe navedenih mjera (s opisom mjere, načinom provedbe, rokom provedbe, imenom i prezimenom odgovorne osobe) s očekivanim financijskim i ekonomskim učinkom. </w:t>
      </w:r>
    </w:p>
    <w:p w:rsidR="00C96B80" w:rsidRPr="00185A28" w:rsidRDefault="00C96B80" w:rsidP="00185A28">
      <w:pPr>
        <w:jc w:val="both"/>
      </w:pPr>
    </w:p>
    <w:p w:rsidR="00C96B80" w:rsidRPr="00185A28" w:rsidRDefault="00BB01E7" w:rsidP="00185A28">
      <w:pPr>
        <w:jc w:val="both"/>
      </w:pPr>
      <w:r w:rsidRPr="00185A28">
        <w:t xml:space="preserve">Takav dokument donosi tijelo koje usvaja i sam financijski plan. Primjenjujući sličnu logiku, proračunski korisnici mogu iznimno sukcesivno planirati trošenje kumuliranog viška iz prethodne(ih) godine. Međutim, i u tom slučaju upravljačko tijelo mora potvrditi tako postupanje. </w:t>
      </w:r>
    </w:p>
    <w:p w:rsidR="00C96B80" w:rsidRPr="00185A28" w:rsidRDefault="00C96B80" w:rsidP="00185A28">
      <w:pPr>
        <w:jc w:val="both"/>
      </w:pPr>
    </w:p>
    <w:p w:rsidR="00345A7B" w:rsidRPr="00185A28" w:rsidRDefault="00BB01E7" w:rsidP="00185A28">
      <w:pPr>
        <w:jc w:val="both"/>
        <w:rPr>
          <w:b/>
        </w:rPr>
      </w:pPr>
      <w:r w:rsidRPr="00185A28">
        <w:t>Višak i manjak ne iskazuje se u financijskom planu na računima razreda 6/7 i 3/4, već se u sam financijski plan uključuje bilančna pozicija 922 Višak/manjak prihoda. Činjenica je da je konačni rezultat poslovanja poznat tek u siječnju godine za koju se donosi financijski plan pa se zbog toga prilikom planiranja tj. izrade financijskog plana u obzir uzima planirani rezultat poslovanja, odnosno njegova procjena rezultata poslovanja</w:t>
      </w:r>
    </w:p>
    <w:p w:rsidR="00185A28" w:rsidRPr="00185A28" w:rsidRDefault="00185A28" w:rsidP="00185A28">
      <w:pPr>
        <w:jc w:val="both"/>
        <w:rPr>
          <w:b/>
        </w:rPr>
      </w:pPr>
    </w:p>
    <w:p w:rsidR="00BE0793" w:rsidRPr="00185A28" w:rsidRDefault="00BE0793" w:rsidP="00185A28">
      <w:pPr>
        <w:jc w:val="both"/>
      </w:pPr>
    </w:p>
    <w:p w:rsidR="00BE0793" w:rsidRPr="00185A28" w:rsidRDefault="00BE0793" w:rsidP="00185A28">
      <w:pPr>
        <w:pStyle w:val="Odlomakpopisa"/>
        <w:numPr>
          <w:ilvl w:val="1"/>
          <w:numId w:val="2"/>
        </w:numPr>
        <w:jc w:val="both"/>
        <w:rPr>
          <w:b/>
        </w:rPr>
      </w:pPr>
      <w:r w:rsidRPr="00185A28">
        <w:rPr>
          <w:b/>
        </w:rPr>
        <w:t>Obrazloženje financijskog plana</w:t>
      </w:r>
    </w:p>
    <w:p w:rsidR="00BE0793" w:rsidRPr="00185A28" w:rsidRDefault="00BE0793" w:rsidP="00185A28">
      <w:pPr>
        <w:jc w:val="both"/>
        <w:rPr>
          <w:b/>
        </w:rPr>
      </w:pPr>
    </w:p>
    <w:p w:rsidR="00894AFF" w:rsidRPr="00185A28" w:rsidRDefault="00BE0793" w:rsidP="00185A28">
      <w:pPr>
        <w:jc w:val="both"/>
      </w:pPr>
      <w:r w:rsidRPr="00185A28">
        <w:t xml:space="preserve">Obrazloženje financijskog plana proračunskog korisnika je podloga za analiziranje rezultata i oblikovanje budućih ciljeva, usmjeravanje djelovanja proračunskog korisnika te osnova za utvrđivanje odgovornosti. U skladu s člankom 30. Zakona o proračunu proračunski korisnici su dužni uz prijedlog financijskog plana izraditi i dostaviti obrazloženje prijedloga financijskog plana. Prilikom izrade obrazloženja naglasak je potrebno staviti na ciljeve koji se namjeravaju postići i pokazatelje uspješnosti realizacije tih ciljeva. </w:t>
      </w:r>
    </w:p>
    <w:p w:rsidR="00894AFF" w:rsidRPr="00185A28" w:rsidRDefault="00894AFF" w:rsidP="00185A28">
      <w:pPr>
        <w:jc w:val="both"/>
      </w:pPr>
    </w:p>
    <w:p w:rsidR="00894AFF" w:rsidRPr="00185A28" w:rsidRDefault="00BE0793" w:rsidP="00185A28">
      <w:pPr>
        <w:jc w:val="both"/>
      </w:pPr>
      <w:r w:rsidRPr="00185A28">
        <w:t>U obrazloženju financijskog plana korist</w:t>
      </w:r>
      <w:r w:rsidR="00894AFF" w:rsidRPr="00185A28">
        <w:t>e se dvije vrste pokazatelja:</w:t>
      </w:r>
    </w:p>
    <w:p w:rsidR="00894AFF" w:rsidRPr="00185A28" w:rsidRDefault="00894AFF" w:rsidP="00185A28">
      <w:pPr>
        <w:ind w:firstLine="708"/>
        <w:jc w:val="both"/>
      </w:pPr>
      <w:r w:rsidRPr="00185A28">
        <w:t xml:space="preserve">- </w:t>
      </w:r>
      <w:r w:rsidR="00BE0793" w:rsidRPr="00185A28">
        <w:t>pokazatelj učinka (</w:t>
      </w:r>
      <w:proofErr w:type="spellStart"/>
      <w:r w:rsidR="00BE0793" w:rsidRPr="00185A28">
        <w:t>outcome</w:t>
      </w:r>
      <w:proofErr w:type="spellEnd"/>
      <w:r w:rsidR="00BE0793" w:rsidRPr="00185A28">
        <w:t xml:space="preserve">) i </w:t>
      </w:r>
    </w:p>
    <w:p w:rsidR="00894AFF" w:rsidRPr="00185A28" w:rsidRDefault="00894AFF" w:rsidP="00185A28">
      <w:pPr>
        <w:ind w:firstLine="708"/>
        <w:jc w:val="both"/>
      </w:pPr>
      <w:r w:rsidRPr="00185A28">
        <w:t xml:space="preserve">- </w:t>
      </w:r>
      <w:r w:rsidR="00BE0793" w:rsidRPr="00185A28">
        <w:t>pokazatelj rezultata (</w:t>
      </w:r>
      <w:proofErr w:type="spellStart"/>
      <w:r w:rsidR="00BE0793" w:rsidRPr="00185A28">
        <w:t>output</w:t>
      </w:r>
      <w:proofErr w:type="spellEnd"/>
      <w:r w:rsidR="00BE0793" w:rsidRPr="00185A28">
        <w:t xml:space="preserve">). </w:t>
      </w:r>
    </w:p>
    <w:p w:rsidR="00894AFF" w:rsidRPr="00185A28" w:rsidRDefault="00894AFF" w:rsidP="00185A28">
      <w:pPr>
        <w:jc w:val="both"/>
      </w:pPr>
    </w:p>
    <w:p w:rsidR="00BE0793" w:rsidRPr="00185A28" w:rsidRDefault="00BE0793" w:rsidP="00185A28">
      <w:pPr>
        <w:jc w:val="both"/>
      </w:pPr>
      <w:r w:rsidRPr="00185A28">
        <w:lastRenderedPageBreak/>
        <w:t>Pokazatelj učinka treba dati informaciju o učinkovitosti, dugoročnim rezultatima te društvenim promjenama k</w:t>
      </w:r>
      <w:r w:rsidR="00894AFF" w:rsidRPr="00185A28">
        <w:t>oje se postižu ostvarenjem cilj,</w:t>
      </w:r>
      <w:r w:rsidRPr="00185A28">
        <w:t xml:space="preserve"> </w:t>
      </w:r>
      <w:r w:rsidR="00894AFF" w:rsidRPr="00185A28">
        <w:t xml:space="preserve">dok se </w:t>
      </w:r>
      <w:r w:rsidRPr="00185A28">
        <w:t>pokazatelji</w:t>
      </w:r>
      <w:r w:rsidR="00894AFF" w:rsidRPr="00185A28">
        <w:t xml:space="preserve"> rezultata odnose</w:t>
      </w:r>
      <w:r w:rsidRPr="00185A28">
        <w:t xml:space="preserve"> na proizvedena dobra i usluge unutar aktivnosti/projekta i orijentirani su prema konkretnom rezultatu.</w:t>
      </w:r>
    </w:p>
    <w:p w:rsidR="00BE0793" w:rsidRPr="00185A28" w:rsidRDefault="00BE0793" w:rsidP="00185A28">
      <w:pPr>
        <w:jc w:val="both"/>
        <w:rPr>
          <w:b/>
        </w:rPr>
      </w:pPr>
    </w:p>
    <w:p w:rsidR="00B66DC4" w:rsidRPr="00185A28" w:rsidRDefault="00B66DC4" w:rsidP="00185A28">
      <w:pPr>
        <w:jc w:val="both"/>
        <w:rPr>
          <w:b/>
        </w:rPr>
      </w:pPr>
    </w:p>
    <w:p w:rsidR="00B66DC4" w:rsidRPr="00185A28" w:rsidRDefault="00B66DC4" w:rsidP="00185A28">
      <w:pPr>
        <w:pStyle w:val="Odlomakpopisa"/>
        <w:numPr>
          <w:ilvl w:val="1"/>
          <w:numId w:val="2"/>
        </w:numPr>
        <w:jc w:val="both"/>
        <w:rPr>
          <w:b/>
          <w:bCs/>
        </w:rPr>
      </w:pPr>
      <w:r w:rsidRPr="00185A28">
        <w:rPr>
          <w:b/>
          <w:bCs/>
        </w:rPr>
        <w:t xml:space="preserve"> Visina financijskog plana proračunskog korisnika </w:t>
      </w:r>
    </w:p>
    <w:p w:rsidR="00B66DC4" w:rsidRPr="00185A28" w:rsidRDefault="00B66DC4" w:rsidP="00185A28">
      <w:pPr>
        <w:ind w:left="360"/>
        <w:jc w:val="both"/>
        <w:rPr>
          <w:bCs/>
        </w:rPr>
      </w:pPr>
    </w:p>
    <w:p w:rsidR="0030504B" w:rsidRPr="00185A28" w:rsidRDefault="0030504B" w:rsidP="00185A28">
      <w:pPr>
        <w:jc w:val="both"/>
      </w:pPr>
      <w:r w:rsidRPr="00185A28">
        <w:t>Sukladno članku 27., stavku 3., točci 4. Zakona o proračunu visina financijskog plana proračunskog korisnika sadrži visinu financijskog plana za prethodnu proračunsku godinu i tekuću proračunsku godinu te prijedlog visine financijskog plana za slijedeću proračunsku godinu i za slijedeće dvije godine raspoređen na:</w:t>
      </w:r>
    </w:p>
    <w:p w:rsidR="0030504B" w:rsidRPr="00185A28" w:rsidRDefault="0030504B" w:rsidP="00185A28">
      <w:pPr>
        <w:jc w:val="both"/>
      </w:pPr>
      <w:r w:rsidRPr="00185A28">
        <w:t xml:space="preserve"> a) visinu sredstava potrebnih za provedbu postojećih programa, odnosno aktivnosti, koje proizlaze iz trenutno važećih propisa (prvi limit) i</w:t>
      </w:r>
    </w:p>
    <w:p w:rsidR="0030504B" w:rsidRPr="00185A28" w:rsidRDefault="0030504B" w:rsidP="00185A28">
      <w:pPr>
        <w:jc w:val="both"/>
      </w:pPr>
      <w:r w:rsidRPr="00185A28">
        <w:t xml:space="preserve"> b) visinu sredstava potrebnih za uvođenje i provedbu novih ili promjenu postojećih programa, odnosno aktivnosti (drugi limit).</w:t>
      </w:r>
    </w:p>
    <w:p w:rsidR="00185A28" w:rsidRDefault="00185A28" w:rsidP="00185A28">
      <w:pPr>
        <w:jc w:val="both"/>
      </w:pPr>
    </w:p>
    <w:tbl>
      <w:tblPr>
        <w:tblStyle w:val="Reetkatablice"/>
        <w:tblpPr w:leftFromText="180" w:rightFromText="180" w:vertAnchor="text" w:horzAnchor="margin" w:tblpXSpec="center" w:tblpY="121"/>
        <w:tblW w:w="10440" w:type="dxa"/>
        <w:tblLayout w:type="fixed"/>
        <w:tblLook w:val="04A0" w:firstRow="1" w:lastRow="0" w:firstColumn="1" w:lastColumn="0" w:noHBand="0" w:noVBand="1"/>
      </w:tblPr>
      <w:tblGrid>
        <w:gridCol w:w="1084"/>
        <w:gridCol w:w="1134"/>
        <w:gridCol w:w="1134"/>
        <w:gridCol w:w="1134"/>
        <w:gridCol w:w="1134"/>
        <w:gridCol w:w="1276"/>
        <w:gridCol w:w="1276"/>
        <w:gridCol w:w="1134"/>
        <w:gridCol w:w="1134"/>
      </w:tblGrid>
      <w:tr w:rsidR="0016435E" w:rsidRPr="0016435E" w:rsidTr="0016435E">
        <w:trPr>
          <w:trHeight w:val="255"/>
        </w:trPr>
        <w:tc>
          <w:tcPr>
            <w:tcW w:w="1084" w:type="dxa"/>
            <w:vMerge w:val="restart"/>
          </w:tcPr>
          <w:p w:rsidR="0016435E" w:rsidRPr="0016435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435E" w:rsidRPr="0016435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35E">
              <w:rPr>
                <w:rFonts w:ascii="Times New Roman" w:hAnsi="Times New Roman" w:cs="Times New Roman"/>
                <w:b/>
                <w:sz w:val="20"/>
                <w:szCs w:val="20"/>
              </w:rPr>
              <w:t>Korisnik</w:t>
            </w:r>
          </w:p>
        </w:tc>
        <w:tc>
          <w:tcPr>
            <w:tcW w:w="1134" w:type="dxa"/>
            <w:vMerge w:val="restart"/>
          </w:tcPr>
          <w:p w:rsidR="0016435E" w:rsidRPr="0016435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35E">
              <w:rPr>
                <w:rFonts w:ascii="Times New Roman" w:hAnsi="Times New Roman" w:cs="Times New Roman"/>
                <w:b/>
                <w:sz w:val="20"/>
                <w:szCs w:val="20"/>
              </w:rPr>
              <w:t>2017.</w:t>
            </w:r>
          </w:p>
          <w:p w:rsidR="0016435E" w:rsidRPr="0016435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35E">
              <w:rPr>
                <w:rFonts w:ascii="Times New Roman" w:hAnsi="Times New Roman" w:cs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1134" w:type="dxa"/>
            <w:vMerge w:val="restart"/>
          </w:tcPr>
          <w:p w:rsidR="0016435E" w:rsidRPr="0016435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35E">
              <w:rPr>
                <w:rFonts w:ascii="Times New Roman" w:hAnsi="Times New Roman" w:cs="Times New Roman"/>
                <w:b/>
                <w:sz w:val="20"/>
                <w:szCs w:val="20"/>
              </w:rPr>
              <w:t>2018.</w:t>
            </w:r>
          </w:p>
          <w:p w:rsidR="0016435E" w:rsidRPr="0016435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35E">
              <w:rPr>
                <w:rFonts w:ascii="Times New Roman" w:hAnsi="Times New Roman" w:cs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5E" w:rsidRPr="0016435E" w:rsidRDefault="0016435E" w:rsidP="0016435E">
            <w:pPr>
              <w:jc w:val="center"/>
              <w:rPr>
                <w:b/>
                <w:sz w:val="20"/>
                <w:szCs w:val="20"/>
              </w:rPr>
            </w:pPr>
            <w:r w:rsidRPr="0016435E">
              <w:rPr>
                <w:b/>
                <w:sz w:val="20"/>
                <w:szCs w:val="20"/>
              </w:rPr>
              <w:t>2019. godina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5E" w:rsidRPr="0016435E" w:rsidRDefault="0016435E" w:rsidP="0016435E">
            <w:pPr>
              <w:jc w:val="center"/>
              <w:rPr>
                <w:b/>
                <w:sz w:val="20"/>
                <w:szCs w:val="20"/>
              </w:rPr>
            </w:pPr>
            <w:r w:rsidRPr="0016435E">
              <w:rPr>
                <w:b/>
                <w:sz w:val="20"/>
                <w:szCs w:val="20"/>
              </w:rPr>
              <w:t>2021. godina</w:t>
            </w:r>
          </w:p>
        </w:tc>
        <w:tc>
          <w:tcPr>
            <w:tcW w:w="2268" w:type="dxa"/>
            <w:gridSpan w:val="2"/>
          </w:tcPr>
          <w:p w:rsidR="0016435E" w:rsidRPr="0016435E" w:rsidRDefault="0016435E" w:rsidP="0016435E">
            <w:pPr>
              <w:jc w:val="center"/>
              <w:rPr>
                <w:b/>
                <w:sz w:val="20"/>
                <w:szCs w:val="20"/>
              </w:rPr>
            </w:pPr>
            <w:r w:rsidRPr="0016435E">
              <w:rPr>
                <w:b/>
                <w:sz w:val="20"/>
                <w:szCs w:val="20"/>
              </w:rPr>
              <w:t>2022. godina</w:t>
            </w:r>
          </w:p>
        </w:tc>
      </w:tr>
      <w:tr w:rsidR="0016435E" w:rsidRPr="0016435E" w:rsidTr="0016435E">
        <w:trPr>
          <w:trHeight w:val="285"/>
        </w:trPr>
        <w:tc>
          <w:tcPr>
            <w:tcW w:w="1084" w:type="dxa"/>
            <w:vMerge/>
          </w:tcPr>
          <w:p w:rsidR="0016435E" w:rsidRPr="0016435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435E" w:rsidRPr="0016435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435E" w:rsidRPr="0016435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5E" w:rsidRPr="0016435E" w:rsidRDefault="0016435E" w:rsidP="0016435E">
            <w:pPr>
              <w:jc w:val="center"/>
              <w:rPr>
                <w:b/>
                <w:sz w:val="20"/>
                <w:szCs w:val="20"/>
              </w:rPr>
            </w:pPr>
            <w:r w:rsidRPr="0016435E">
              <w:rPr>
                <w:b/>
                <w:sz w:val="20"/>
                <w:szCs w:val="20"/>
              </w:rPr>
              <w:t>Limit 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435E" w:rsidRPr="0016435E" w:rsidRDefault="0016435E" w:rsidP="0016435E">
            <w:pPr>
              <w:jc w:val="center"/>
              <w:rPr>
                <w:b/>
                <w:sz w:val="20"/>
                <w:szCs w:val="20"/>
              </w:rPr>
            </w:pPr>
            <w:r w:rsidRPr="0016435E">
              <w:rPr>
                <w:b/>
                <w:sz w:val="20"/>
                <w:szCs w:val="20"/>
              </w:rPr>
              <w:t>Limit B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435E" w:rsidRPr="0016435E" w:rsidRDefault="0016435E" w:rsidP="0016435E">
            <w:pPr>
              <w:jc w:val="center"/>
              <w:rPr>
                <w:b/>
                <w:sz w:val="20"/>
                <w:szCs w:val="20"/>
              </w:rPr>
            </w:pPr>
            <w:r w:rsidRPr="0016435E">
              <w:rPr>
                <w:b/>
                <w:sz w:val="20"/>
                <w:szCs w:val="20"/>
              </w:rPr>
              <w:t>Limit 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435E" w:rsidRPr="0016435E" w:rsidRDefault="0016435E" w:rsidP="0016435E">
            <w:pPr>
              <w:jc w:val="center"/>
              <w:rPr>
                <w:b/>
                <w:sz w:val="20"/>
                <w:szCs w:val="20"/>
              </w:rPr>
            </w:pPr>
            <w:r w:rsidRPr="0016435E">
              <w:rPr>
                <w:b/>
                <w:sz w:val="20"/>
                <w:szCs w:val="20"/>
              </w:rPr>
              <w:t>Limit 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5E" w:rsidRPr="0016435E" w:rsidRDefault="0016435E" w:rsidP="0016435E">
            <w:pPr>
              <w:jc w:val="center"/>
              <w:rPr>
                <w:b/>
                <w:sz w:val="20"/>
                <w:szCs w:val="20"/>
              </w:rPr>
            </w:pPr>
            <w:r w:rsidRPr="0016435E">
              <w:rPr>
                <w:b/>
                <w:sz w:val="20"/>
                <w:szCs w:val="20"/>
              </w:rPr>
              <w:t>Limit 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5E" w:rsidRPr="0016435E" w:rsidRDefault="0016435E" w:rsidP="0016435E">
            <w:pPr>
              <w:jc w:val="center"/>
              <w:rPr>
                <w:b/>
                <w:sz w:val="20"/>
                <w:szCs w:val="20"/>
              </w:rPr>
            </w:pPr>
            <w:r w:rsidRPr="0016435E">
              <w:rPr>
                <w:b/>
                <w:sz w:val="20"/>
                <w:szCs w:val="20"/>
              </w:rPr>
              <w:t>Limit B</w:t>
            </w:r>
          </w:p>
        </w:tc>
      </w:tr>
      <w:tr w:rsidR="0016435E" w:rsidRPr="0016435E" w:rsidTr="0016435E">
        <w:tblPrEx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1084" w:type="dxa"/>
          </w:tcPr>
          <w:p w:rsidR="0016435E" w:rsidRPr="0016435E" w:rsidRDefault="0016435E" w:rsidP="0016435E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435E" w:rsidRPr="0016435E" w:rsidRDefault="0016435E" w:rsidP="0016435E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DV </w:t>
            </w:r>
            <w:proofErr w:type="spellStart"/>
            <w:r w:rsidRPr="0016435E">
              <w:rPr>
                <w:rFonts w:ascii="Times New Roman" w:hAnsi="Times New Roman" w:cs="Times New Roman"/>
                <w:b/>
                <w:sz w:val="20"/>
                <w:szCs w:val="20"/>
              </w:rPr>
              <w:t>Sabunić</w:t>
            </w:r>
            <w:proofErr w:type="spellEnd"/>
          </w:p>
          <w:p w:rsidR="0016435E" w:rsidRPr="0016435E" w:rsidRDefault="0016435E" w:rsidP="0016435E">
            <w:pPr>
              <w:pStyle w:val="Bezproreda"/>
              <w:ind w:left="14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435E" w:rsidRPr="0016435E" w:rsidRDefault="0016435E" w:rsidP="0016435E">
            <w:pPr>
              <w:pStyle w:val="Bezproreda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</w:p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  <w:r w:rsidRPr="0016435E">
              <w:rPr>
                <w:sz w:val="20"/>
                <w:szCs w:val="20"/>
              </w:rPr>
              <w:t>430.000,00</w:t>
            </w:r>
          </w:p>
          <w:p w:rsidR="0016435E" w:rsidRPr="0016435E" w:rsidRDefault="0016435E" w:rsidP="0016435E">
            <w:pPr>
              <w:pStyle w:val="Bezprored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</w:p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  <w:r w:rsidRPr="0016435E">
              <w:rPr>
                <w:sz w:val="20"/>
                <w:szCs w:val="20"/>
              </w:rPr>
              <w:t>450.000,00</w:t>
            </w:r>
          </w:p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</w:p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</w:p>
          <w:p w:rsidR="0016435E" w:rsidRPr="0016435E" w:rsidRDefault="0016435E" w:rsidP="0016435E">
            <w:pPr>
              <w:pStyle w:val="Bezprored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</w:p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  <w:r w:rsidRPr="0016435E">
              <w:rPr>
                <w:sz w:val="20"/>
                <w:szCs w:val="20"/>
              </w:rPr>
              <w:t>500.000,00</w:t>
            </w:r>
          </w:p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</w:p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</w:p>
          <w:p w:rsidR="0016435E" w:rsidRPr="0016435E" w:rsidRDefault="0016435E" w:rsidP="0016435E">
            <w:pPr>
              <w:pStyle w:val="Bezprored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</w:p>
          <w:p w:rsidR="0016435E" w:rsidRPr="0016435E" w:rsidRDefault="0016435E" w:rsidP="0016435E">
            <w:pPr>
              <w:pStyle w:val="Bezprored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35E">
              <w:rPr>
                <w:rFonts w:ascii="Times New Roman" w:hAnsi="Times New Roman" w:cs="Times New Roman"/>
                <w:sz w:val="20"/>
                <w:szCs w:val="20"/>
              </w:rPr>
              <w:t>550.000,00</w:t>
            </w:r>
          </w:p>
        </w:tc>
        <w:tc>
          <w:tcPr>
            <w:tcW w:w="1276" w:type="dxa"/>
          </w:tcPr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</w:p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  <w:r w:rsidRPr="0016435E">
              <w:rPr>
                <w:sz w:val="20"/>
                <w:szCs w:val="20"/>
              </w:rPr>
              <w:t>500.000,00</w:t>
            </w:r>
          </w:p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</w:p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</w:p>
          <w:p w:rsidR="0016435E" w:rsidRPr="0016435E" w:rsidRDefault="0016435E" w:rsidP="0016435E">
            <w:pPr>
              <w:pStyle w:val="Bezprored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</w:p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  <w:r w:rsidRPr="0016435E">
              <w:rPr>
                <w:sz w:val="20"/>
                <w:szCs w:val="20"/>
              </w:rPr>
              <w:t>550.000,00</w:t>
            </w:r>
          </w:p>
          <w:p w:rsidR="0016435E" w:rsidRPr="0016435E" w:rsidRDefault="0016435E" w:rsidP="0016435E">
            <w:pPr>
              <w:pStyle w:val="Bezprored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</w:p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  <w:r w:rsidRPr="0016435E">
              <w:rPr>
                <w:sz w:val="20"/>
                <w:szCs w:val="20"/>
              </w:rPr>
              <w:t>550.000,00</w:t>
            </w:r>
          </w:p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</w:p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</w:p>
          <w:p w:rsidR="0016435E" w:rsidRPr="0016435E" w:rsidRDefault="0016435E" w:rsidP="0016435E">
            <w:pPr>
              <w:pStyle w:val="Bezprored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</w:p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  <w:r w:rsidRPr="0016435E">
              <w:rPr>
                <w:sz w:val="20"/>
                <w:szCs w:val="20"/>
              </w:rPr>
              <w:t>600.000,00</w:t>
            </w:r>
          </w:p>
          <w:p w:rsidR="0016435E" w:rsidRPr="0016435E" w:rsidRDefault="0016435E" w:rsidP="0016435E">
            <w:pPr>
              <w:jc w:val="both"/>
              <w:rPr>
                <w:sz w:val="20"/>
                <w:szCs w:val="20"/>
              </w:rPr>
            </w:pPr>
          </w:p>
          <w:p w:rsidR="0016435E" w:rsidRPr="0016435E" w:rsidRDefault="0016435E" w:rsidP="0016435E">
            <w:pPr>
              <w:pStyle w:val="Bezprored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0BDC" w:rsidRPr="00185A28" w:rsidRDefault="00200BDC" w:rsidP="00185A28">
      <w:pPr>
        <w:jc w:val="both"/>
      </w:pPr>
    </w:p>
    <w:p w:rsidR="0030504B" w:rsidRPr="00185A28" w:rsidRDefault="0030504B" w:rsidP="00185A28">
      <w:pPr>
        <w:jc w:val="both"/>
        <w:rPr>
          <w:bCs/>
        </w:rPr>
      </w:pPr>
    </w:p>
    <w:p w:rsidR="0036185C" w:rsidRPr="00185A28" w:rsidRDefault="0036185C" w:rsidP="00185A28">
      <w:pPr>
        <w:jc w:val="both"/>
        <w:rPr>
          <w:bCs/>
        </w:rPr>
      </w:pPr>
    </w:p>
    <w:p w:rsidR="00185A28" w:rsidRPr="00185A28" w:rsidRDefault="007D0C1B" w:rsidP="00185A28">
      <w:pPr>
        <w:jc w:val="both"/>
      </w:pPr>
      <w:r w:rsidRPr="00185A28">
        <w:t>Proračunski korisnik ima obvezu usklađivanja svog financijskog plana s donesenim Proračunom Općine Privlaka i drugim proračunima iz kojih se financiraju. Odgovorna osoba proračunskog korisnika odgovorna je za zakonito i pravilno planiranje i izvršavanje financijskog plana.</w:t>
      </w:r>
    </w:p>
    <w:p w:rsidR="00A3657A" w:rsidRDefault="00A3657A" w:rsidP="00185A28">
      <w:pPr>
        <w:jc w:val="both"/>
      </w:pPr>
    </w:p>
    <w:p w:rsidR="00420E82" w:rsidRPr="00185A28" w:rsidRDefault="00420E82" w:rsidP="00185A28">
      <w:pPr>
        <w:jc w:val="both"/>
      </w:pPr>
    </w:p>
    <w:p w:rsidR="00A3657A" w:rsidRPr="00185A28" w:rsidRDefault="00A3657A" w:rsidP="00185A28">
      <w:pPr>
        <w:pStyle w:val="Odlomakpopisa"/>
        <w:numPr>
          <w:ilvl w:val="0"/>
          <w:numId w:val="2"/>
        </w:numPr>
        <w:jc w:val="both"/>
        <w:rPr>
          <w:b/>
        </w:rPr>
      </w:pPr>
      <w:r w:rsidRPr="00185A28">
        <w:rPr>
          <w:b/>
        </w:rPr>
        <w:t>TERMINSKI PLAN ZA IZRADU PRORAČUNA I PRIJEDLOGA FINANCIJSKOG PLANA PRORAČUNSKOG KORISNIKA OPĆINE PRIVLAKA</w:t>
      </w:r>
    </w:p>
    <w:p w:rsidR="00A3657A" w:rsidRPr="00185A28" w:rsidRDefault="00A3657A" w:rsidP="00185A28">
      <w:pPr>
        <w:jc w:val="both"/>
      </w:pPr>
    </w:p>
    <w:p w:rsidR="008C3E6B" w:rsidRPr="00185A28" w:rsidRDefault="008C3E6B" w:rsidP="00185A28">
      <w:pPr>
        <w:jc w:val="both"/>
        <w:rPr>
          <w:bCs/>
        </w:rPr>
      </w:pPr>
    </w:p>
    <w:p w:rsidR="008C3E6B" w:rsidRPr="00185A28" w:rsidRDefault="008C3E6B" w:rsidP="00185A28">
      <w:pPr>
        <w:jc w:val="both"/>
      </w:pPr>
      <w:r w:rsidRPr="00185A28">
        <w:t xml:space="preserve">Nakon primitka </w:t>
      </w:r>
      <w:r w:rsidR="005E2027" w:rsidRPr="00185A28">
        <w:t>prijedloga financijskog plana</w:t>
      </w:r>
      <w:r w:rsidRPr="00185A28">
        <w:t xml:space="preserve"> proračunskog korisnika za 201</w:t>
      </w:r>
      <w:r w:rsidR="005E2027" w:rsidRPr="00185A28">
        <w:t xml:space="preserve">9. godinu, a najkasnije do 15. rujna tekuće godine, </w:t>
      </w:r>
      <w:r w:rsidRPr="00185A28">
        <w:t>Jedinstveni upravni odjel Opći</w:t>
      </w:r>
      <w:r w:rsidR="005E2027" w:rsidRPr="00185A28">
        <w:t>ne Privlaka dostavlja prijedlog</w:t>
      </w:r>
      <w:r w:rsidRPr="00185A28">
        <w:t xml:space="preserve"> Službi za proračun i financije za izradu prijedloga Proračuna Općine Privlaka.</w:t>
      </w:r>
    </w:p>
    <w:p w:rsidR="005E2027" w:rsidRPr="00185A28" w:rsidRDefault="005E2027" w:rsidP="00185A28">
      <w:pPr>
        <w:jc w:val="both"/>
      </w:pPr>
    </w:p>
    <w:p w:rsidR="008C3E6B" w:rsidRPr="00185A28" w:rsidRDefault="008C3E6B" w:rsidP="00185A28">
      <w:pPr>
        <w:jc w:val="both"/>
      </w:pPr>
      <w:r w:rsidRPr="00185A28">
        <w:t xml:space="preserve">Služba za </w:t>
      </w:r>
      <w:r w:rsidR="005E2027" w:rsidRPr="00185A28">
        <w:t>proračun i financije</w:t>
      </w:r>
      <w:r w:rsidRPr="00185A28">
        <w:t xml:space="preserve"> </w:t>
      </w:r>
      <w:r w:rsidR="00B957CF" w:rsidRPr="00185A28">
        <w:t>izrađuje</w:t>
      </w:r>
      <w:r w:rsidRPr="00185A28">
        <w:t xml:space="preserve"> Nacrt Proračuna (uravnoteženje prihoda i rashoda) za </w:t>
      </w:r>
      <w:r w:rsidR="00B957CF" w:rsidRPr="00185A28">
        <w:t>proračunsku godinu i</w:t>
      </w:r>
      <w:r w:rsidRPr="00185A28">
        <w:t xml:space="preserve"> </w:t>
      </w:r>
      <w:r w:rsidR="00B957CF" w:rsidRPr="00185A28">
        <w:t>p</w:t>
      </w:r>
      <w:r w:rsidRPr="00185A28">
        <w:t xml:space="preserve">rojekcije za </w:t>
      </w:r>
      <w:r w:rsidR="00B957CF" w:rsidRPr="00185A28">
        <w:t xml:space="preserve">slijedeće dvije godine, te ih dostavlja </w:t>
      </w:r>
      <w:r w:rsidRPr="00185A28">
        <w:t xml:space="preserve">Načelniku do 15. listopada </w:t>
      </w:r>
      <w:r w:rsidR="00B957CF" w:rsidRPr="00185A28">
        <w:t>tekuće godine.</w:t>
      </w:r>
    </w:p>
    <w:p w:rsidR="00B957CF" w:rsidRPr="00185A28" w:rsidRDefault="00B957CF" w:rsidP="00185A28">
      <w:pPr>
        <w:jc w:val="both"/>
      </w:pPr>
    </w:p>
    <w:p w:rsidR="00625AE0" w:rsidRPr="00185A28" w:rsidRDefault="00625AE0" w:rsidP="00185A28">
      <w:pPr>
        <w:jc w:val="both"/>
      </w:pPr>
      <w:r w:rsidRPr="00185A28">
        <w:t>Načelnik utvrđuje prijedlog proračuna i projekcije te ih podnosi predstavničkom tijelu na donošenje do 15.studenog tekuće godine.</w:t>
      </w:r>
    </w:p>
    <w:p w:rsidR="00625AE0" w:rsidRPr="00185A28" w:rsidRDefault="008C3E6B" w:rsidP="00185A28">
      <w:pPr>
        <w:jc w:val="both"/>
      </w:pPr>
      <w:r w:rsidRPr="00185A28">
        <w:t xml:space="preserve">U tijeku rasprave o prijedlogu Proračuna, podneseni amandmani kojima se predlaže povećanje rashoda iznad iznosa utvrđenih prijedlogom, mogu se prihvatiti </w:t>
      </w:r>
      <w:r w:rsidRPr="00185A28">
        <w:rPr>
          <w:bCs/>
        </w:rPr>
        <w:t xml:space="preserve">pod uvjetom da se </w:t>
      </w:r>
      <w:r w:rsidRPr="00185A28">
        <w:rPr>
          <w:bCs/>
        </w:rPr>
        <w:lastRenderedPageBreak/>
        <w:t>istodobno predloži smanjenje nekih drugih rashoda</w:t>
      </w:r>
      <w:r w:rsidRPr="00185A28">
        <w:t>, ali ne smiju biti na teret proračunske zalihe.</w:t>
      </w:r>
    </w:p>
    <w:p w:rsidR="00625AE0" w:rsidRPr="00185A28" w:rsidRDefault="00625AE0" w:rsidP="00185A28">
      <w:pPr>
        <w:jc w:val="both"/>
      </w:pPr>
    </w:p>
    <w:p w:rsidR="00625AE0" w:rsidRPr="00185A28" w:rsidRDefault="00625AE0" w:rsidP="00185A28">
      <w:pPr>
        <w:jc w:val="both"/>
      </w:pPr>
      <w:r w:rsidRPr="00185A28">
        <w:t>Predstavničko tijelo donosi proračun na razini podskupine ekonomske klasifikacije za iduću proračunsku godinu i projekciju na razini skupine ekonomske klasifikacija za sljedeće dvije proračunske godine do konca tekuće godine i to u roku koji omogućuje primjenu proračuna s 1. siječnja godine za koju se odnosi proračun.</w:t>
      </w:r>
    </w:p>
    <w:p w:rsidR="00625AE0" w:rsidRPr="00185A28" w:rsidRDefault="00625AE0" w:rsidP="00185A28">
      <w:pPr>
        <w:jc w:val="both"/>
      </w:pPr>
    </w:p>
    <w:p w:rsidR="009B482D" w:rsidRPr="00185A28" w:rsidRDefault="009B482D" w:rsidP="00185A28">
      <w:pPr>
        <w:jc w:val="both"/>
      </w:pPr>
    </w:p>
    <w:p w:rsidR="009B482D" w:rsidRPr="00185A28" w:rsidRDefault="009B482D" w:rsidP="00185A28">
      <w:pPr>
        <w:pStyle w:val="Odlomakpopisa"/>
        <w:numPr>
          <w:ilvl w:val="0"/>
          <w:numId w:val="2"/>
        </w:numPr>
        <w:jc w:val="both"/>
        <w:rPr>
          <w:b/>
        </w:rPr>
      </w:pPr>
      <w:r w:rsidRPr="00185A28">
        <w:rPr>
          <w:b/>
        </w:rPr>
        <w:t>DOSTUPNOST MATERIJALA</w:t>
      </w:r>
    </w:p>
    <w:p w:rsidR="009B482D" w:rsidRPr="00185A28" w:rsidRDefault="009B482D" w:rsidP="00185A28">
      <w:pPr>
        <w:jc w:val="both"/>
      </w:pPr>
    </w:p>
    <w:p w:rsidR="009B482D" w:rsidRPr="00185A28" w:rsidRDefault="009B482D" w:rsidP="00185A28">
      <w:pPr>
        <w:jc w:val="both"/>
      </w:pPr>
      <w:r w:rsidRPr="00185A28">
        <w:t xml:space="preserve">Na Internet stranici Općine Privlaka  </w:t>
      </w:r>
      <w:hyperlink r:id="rId9" w:history="1">
        <w:r w:rsidRPr="00185A28">
          <w:rPr>
            <w:rStyle w:val="Hiperveza"/>
          </w:rPr>
          <w:t>www.privlaka.hr</w:t>
        </w:r>
      </w:hyperlink>
      <w:r w:rsidRPr="00185A28">
        <w:t xml:space="preserve"> nalaze se ove Upute za izradu prijedloga proračuna i financijskog plana proračunskog korisnika Općine Privlaka za razdoblje od 2019. do 2021. godine.</w:t>
      </w:r>
    </w:p>
    <w:p w:rsidR="009B482D" w:rsidRPr="00185A28" w:rsidRDefault="009B482D" w:rsidP="00185A28">
      <w:pPr>
        <w:jc w:val="both"/>
      </w:pPr>
    </w:p>
    <w:p w:rsidR="009B482D" w:rsidRPr="00185A28" w:rsidRDefault="009B482D" w:rsidP="00185A28">
      <w:pPr>
        <w:jc w:val="both"/>
      </w:pPr>
      <w:r w:rsidRPr="00185A28">
        <w:t>Na Internet stranici Ministarstva financija www.mfin.hr ((Proračun/Lokalni proračun) nalaze se Upute za izradu proračuna jedinice lokalne i područne (regionalne) samouprave za razdoblje od 2019. – 2021. godine, model prijedloga financijskog plana (naslovna strana) i model prijedloga financijskog plana proračunskog korisnika.</w:t>
      </w:r>
    </w:p>
    <w:p w:rsidR="009B482D" w:rsidRPr="00185A28" w:rsidRDefault="009B482D" w:rsidP="00185A28">
      <w:pPr>
        <w:jc w:val="both"/>
      </w:pPr>
    </w:p>
    <w:p w:rsidR="009B482D" w:rsidRPr="00185A28" w:rsidRDefault="009B482D" w:rsidP="00185A28">
      <w:pPr>
        <w:jc w:val="both"/>
      </w:pPr>
    </w:p>
    <w:p w:rsidR="00185A28" w:rsidRPr="00185A28" w:rsidRDefault="00185A28" w:rsidP="00185A28">
      <w:pPr>
        <w:jc w:val="both"/>
      </w:pPr>
    </w:p>
    <w:p w:rsidR="009B482D" w:rsidRPr="00185A28" w:rsidRDefault="009B482D" w:rsidP="00185A28">
      <w:pPr>
        <w:jc w:val="both"/>
      </w:pPr>
    </w:p>
    <w:p w:rsidR="009B482D" w:rsidRPr="00185A28" w:rsidRDefault="009B482D" w:rsidP="00185A28">
      <w:pPr>
        <w:jc w:val="both"/>
      </w:pPr>
      <w:r w:rsidRPr="00185A28">
        <w:t xml:space="preserve">KLASA: </w:t>
      </w:r>
      <w:r w:rsidR="00BF195A">
        <w:t>400-08/18-01/03</w:t>
      </w:r>
    </w:p>
    <w:p w:rsidR="009B482D" w:rsidRPr="00185A28" w:rsidRDefault="009B482D" w:rsidP="00185A28">
      <w:pPr>
        <w:jc w:val="both"/>
      </w:pPr>
      <w:r w:rsidRPr="00185A28">
        <w:t xml:space="preserve">URBROJ: </w:t>
      </w:r>
      <w:r w:rsidR="00BF195A">
        <w:t>2198/28-03/3-18-1</w:t>
      </w:r>
    </w:p>
    <w:p w:rsidR="009B482D" w:rsidRPr="00185A28" w:rsidRDefault="009B482D" w:rsidP="00185A28">
      <w:pPr>
        <w:jc w:val="both"/>
      </w:pPr>
    </w:p>
    <w:p w:rsidR="009B482D" w:rsidRPr="00185A28" w:rsidRDefault="009B482D" w:rsidP="00185A28">
      <w:pPr>
        <w:jc w:val="both"/>
      </w:pPr>
      <w:r w:rsidRPr="00185A28">
        <w:t>Privlaka, 05.</w:t>
      </w:r>
      <w:r w:rsidR="00120BAA">
        <w:t xml:space="preserve"> </w:t>
      </w:r>
      <w:r w:rsidR="00BF195A">
        <w:t xml:space="preserve">rujna </w:t>
      </w:r>
      <w:r w:rsidRPr="00185A28">
        <w:t>201</w:t>
      </w:r>
      <w:r w:rsidR="00BF195A">
        <w:t>8</w:t>
      </w:r>
      <w:r w:rsidRPr="00185A28">
        <w:t>.</w:t>
      </w:r>
      <w:r w:rsidR="00BF195A">
        <w:t xml:space="preserve"> godine</w:t>
      </w:r>
    </w:p>
    <w:p w:rsidR="00A3657A" w:rsidRPr="00185A28" w:rsidRDefault="00A3657A" w:rsidP="00185A28">
      <w:pPr>
        <w:jc w:val="both"/>
      </w:pPr>
    </w:p>
    <w:p w:rsidR="00625AE0" w:rsidRPr="00185A28" w:rsidRDefault="00625AE0" w:rsidP="00185A28">
      <w:pPr>
        <w:jc w:val="both"/>
      </w:pPr>
    </w:p>
    <w:p w:rsidR="007D0C1B" w:rsidRPr="00185A28" w:rsidRDefault="007D0C1B" w:rsidP="00185A28">
      <w:pPr>
        <w:jc w:val="both"/>
      </w:pPr>
    </w:p>
    <w:p w:rsidR="007D0C1B" w:rsidRDefault="007D0C1B" w:rsidP="007D0C1B"/>
    <w:p w:rsidR="007D0C1B" w:rsidRDefault="007D0C1B" w:rsidP="007D0C1B">
      <w:pPr>
        <w:pStyle w:val="Bezproreda"/>
      </w:pPr>
    </w:p>
    <w:p w:rsidR="00C05F0D" w:rsidRPr="007D0C1B" w:rsidRDefault="00C05F0D" w:rsidP="007D0C1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C05F0D" w:rsidRPr="007D0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44EF"/>
    <w:multiLevelType w:val="hybridMultilevel"/>
    <w:tmpl w:val="984C11F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0476B"/>
    <w:multiLevelType w:val="hybridMultilevel"/>
    <w:tmpl w:val="1E26136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5155B"/>
    <w:multiLevelType w:val="multilevel"/>
    <w:tmpl w:val="A194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7A53C71"/>
    <w:multiLevelType w:val="hybridMultilevel"/>
    <w:tmpl w:val="1E26136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1B"/>
    <w:rsid w:val="0001091C"/>
    <w:rsid w:val="00025F7C"/>
    <w:rsid w:val="00050787"/>
    <w:rsid w:val="000568E0"/>
    <w:rsid w:val="000602BA"/>
    <w:rsid w:val="00067DA9"/>
    <w:rsid w:val="0009304F"/>
    <w:rsid w:val="000A0D6D"/>
    <w:rsid w:val="00120BAA"/>
    <w:rsid w:val="00122DD5"/>
    <w:rsid w:val="001248F6"/>
    <w:rsid w:val="0016435E"/>
    <w:rsid w:val="00180132"/>
    <w:rsid w:val="00185A28"/>
    <w:rsid w:val="001A3FD3"/>
    <w:rsid w:val="001D4157"/>
    <w:rsid w:val="001F678E"/>
    <w:rsid w:val="00200BDC"/>
    <w:rsid w:val="00236206"/>
    <w:rsid w:val="00261A81"/>
    <w:rsid w:val="002F017C"/>
    <w:rsid w:val="0030504B"/>
    <w:rsid w:val="00345A7B"/>
    <w:rsid w:val="0036185C"/>
    <w:rsid w:val="003B6C2C"/>
    <w:rsid w:val="003D2285"/>
    <w:rsid w:val="003E170D"/>
    <w:rsid w:val="003F5837"/>
    <w:rsid w:val="00410DCB"/>
    <w:rsid w:val="00420E82"/>
    <w:rsid w:val="004A24DA"/>
    <w:rsid w:val="004A6464"/>
    <w:rsid w:val="004B7B8A"/>
    <w:rsid w:val="0056678F"/>
    <w:rsid w:val="00597AFB"/>
    <w:rsid w:val="005E2027"/>
    <w:rsid w:val="00624929"/>
    <w:rsid w:val="00625AE0"/>
    <w:rsid w:val="0066459C"/>
    <w:rsid w:val="006650D2"/>
    <w:rsid w:val="0067098A"/>
    <w:rsid w:val="006912EA"/>
    <w:rsid w:val="006A15BD"/>
    <w:rsid w:val="00711E18"/>
    <w:rsid w:val="007563CD"/>
    <w:rsid w:val="0076158A"/>
    <w:rsid w:val="00777214"/>
    <w:rsid w:val="007D0C1B"/>
    <w:rsid w:val="007F4759"/>
    <w:rsid w:val="007F606E"/>
    <w:rsid w:val="00894AFF"/>
    <w:rsid w:val="008955DC"/>
    <w:rsid w:val="008C3E6B"/>
    <w:rsid w:val="008C61A0"/>
    <w:rsid w:val="009B482D"/>
    <w:rsid w:val="00A3657A"/>
    <w:rsid w:val="00A57A23"/>
    <w:rsid w:val="00A6434E"/>
    <w:rsid w:val="00AB5C04"/>
    <w:rsid w:val="00AB609B"/>
    <w:rsid w:val="00AE534E"/>
    <w:rsid w:val="00AF40D1"/>
    <w:rsid w:val="00B02C95"/>
    <w:rsid w:val="00B03C5A"/>
    <w:rsid w:val="00B66DC4"/>
    <w:rsid w:val="00B957CF"/>
    <w:rsid w:val="00BB01E7"/>
    <w:rsid w:val="00BE0793"/>
    <w:rsid w:val="00BF195A"/>
    <w:rsid w:val="00C01CEC"/>
    <w:rsid w:val="00C05F0D"/>
    <w:rsid w:val="00C15B35"/>
    <w:rsid w:val="00C83117"/>
    <w:rsid w:val="00C96B80"/>
    <w:rsid w:val="00CF1D30"/>
    <w:rsid w:val="00D25222"/>
    <w:rsid w:val="00D36367"/>
    <w:rsid w:val="00D73A7C"/>
    <w:rsid w:val="00D92AF2"/>
    <w:rsid w:val="00DB5BC6"/>
    <w:rsid w:val="00DF7F33"/>
    <w:rsid w:val="00E17E76"/>
    <w:rsid w:val="00E83E6E"/>
    <w:rsid w:val="00EA6E45"/>
    <w:rsid w:val="00ED7892"/>
    <w:rsid w:val="00EF6F13"/>
    <w:rsid w:val="00F604A9"/>
    <w:rsid w:val="00F87476"/>
    <w:rsid w:val="00F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0C1B"/>
    <w:pPr>
      <w:spacing w:after="0" w:line="240" w:lineRule="auto"/>
    </w:pPr>
  </w:style>
  <w:style w:type="paragraph" w:customStyle="1" w:styleId="Default">
    <w:name w:val="Default"/>
    <w:rsid w:val="007D0C1B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07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078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F606E"/>
    <w:pPr>
      <w:ind w:left="720"/>
      <w:contextualSpacing/>
    </w:pPr>
  </w:style>
  <w:style w:type="table" w:styleId="Reetkatablice">
    <w:name w:val="Table Grid"/>
    <w:basedOn w:val="Obinatablica"/>
    <w:uiPriority w:val="59"/>
    <w:rsid w:val="0069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1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0C1B"/>
    <w:pPr>
      <w:spacing w:after="0" w:line="240" w:lineRule="auto"/>
    </w:pPr>
  </w:style>
  <w:style w:type="paragraph" w:customStyle="1" w:styleId="Default">
    <w:name w:val="Default"/>
    <w:rsid w:val="007D0C1B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07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078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F606E"/>
    <w:pPr>
      <w:ind w:left="720"/>
      <w:contextualSpacing/>
    </w:pPr>
  </w:style>
  <w:style w:type="table" w:styleId="Reetkatablice">
    <w:name w:val="Table Grid"/>
    <w:basedOn w:val="Obinatablica"/>
    <w:uiPriority w:val="59"/>
    <w:rsid w:val="0069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1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in.hr/hr/elektronicka-dostava-planova-proracuna-jlprs-uput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vizija.hr/hr/kontak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ivla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DF41-357F-4B64-905C-4981F04B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36</cp:revision>
  <cp:lastPrinted>2018-09-17T10:13:00Z</cp:lastPrinted>
  <dcterms:created xsi:type="dcterms:W3CDTF">2018-09-10T12:35:00Z</dcterms:created>
  <dcterms:modified xsi:type="dcterms:W3CDTF">2018-09-17T10:20:00Z</dcterms:modified>
</cp:coreProperties>
</file>